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12AFCECF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2F1C05">
            <w:rPr>
              <w:rStyle w:val="Style28"/>
            </w:rPr>
            <w:t>14. srpnja 202</w:t>
          </w:r>
          <w:r w:rsidR="00930D4B">
            <w:rPr>
              <w:rStyle w:val="Style28"/>
            </w:rPr>
            <w:t xml:space="preserve">3. </w:t>
          </w:r>
        </w:sdtContent>
      </w:sdt>
    </w:p>
    <w:p w14:paraId="26C19796" w14:textId="55460992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2F1C05" w:rsidRPr="002F1C05">
            <w:rPr>
              <w:rStyle w:val="Style29"/>
            </w:rPr>
            <w:t>: Prava i obveze u zdravstvenoj struci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4B807AAE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2F1C05" w:rsidRPr="002F1C05">
            <w:rPr>
              <w:rStyle w:val="Style52"/>
            </w:rPr>
            <w:t>Doc. dr. sc. Lovorka Bilajac</w:t>
          </w:r>
        </w:sdtContent>
      </w:sdt>
    </w:p>
    <w:p w14:paraId="731A239E" w14:textId="01CFBA34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2F1C05">
            <w:rPr>
              <w:rStyle w:val="Style52"/>
              <w:color w:val="808080" w:themeColor="background1" w:themeShade="80"/>
            </w:rPr>
            <w:t>lovorka.bilajac@uniri.hr</w:t>
          </w:r>
        </w:sdtContent>
      </w:sdt>
    </w:p>
    <w:p w14:paraId="26F9C52A" w14:textId="0B38917D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2F1C05">
            <w:rPr>
              <w:rStyle w:val="Style22"/>
            </w:rPr>
            <w:t>Katedra za javno zdravstvo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6341CFAB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2F1C05">
            <w:rPr>
              <w:rStyle w:val="Style24"/>
            </w:rPr>
            <w:t>Sveučilišni diplomski studiji - Fizioterapija</w:t>
          </w:r>
        </w:sdtContent>
      </w:sdt>
    </w:p>
    <w:p w14:paraId="41C5B683" w14:textId="65D99C5E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2F1C05">
            <w:rPr>
              <w:rStyle w:val="Style9"/>
            </w:rPr>
            <w:t>1</w:t>
          </w:r>
        </w:sdtContent>
      </w:sdt>
    </w:p>
    <w:p w14:paraId="58F79DEC" w14:textId="218E27FA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930D4B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Style w:val="Style54"/>
                <w:lang w:val="hr-HR"/>
              </w:rPr>
              <w:alias w:val="Podaci o kolegiju"/>
              <w:tag w:val="Podaci o kolegiju"/>
              <w:id w:val="2019801302"/>
              <w:placeholder>
                <w:docPart w:val="E7E4849339A849DB90429316F437629C"/>
              </w:placeholder>
            </w:sdtPr>
            <w:sdtEndPr>
              <w:rPr>
                <w:rStyle w:val="DefaultParagraphFont"/>
                <w:rFonts w:ascii="Arial" w:hAnsi="Arial"/>
                <w:sz w:val="24"/>
              </w:rPr>
            </w:sdtEndPr>
            <w:sdtContent>
              <w:p w14:paraId="48049E87" w14:textId="73FC2648" w:rsidR="002F1C05" w:rsidRPr="0064451A" w:rsidRDefault="002F1C05" w:rsidP="002F1C05">
                <w:pPr>
                  <w:pStyle w:val="Default"/>
                  <w:jc w:val="both"/>
                  <w:rPr>
                    <w:rStyle w:val="Style54"/>
                    <w:szCs w:val="22"/>
                    <w:lang w:val="hr-HR"/>
                  </w:rPr>
                </w:pPr>
                <w:r w:rsidRPr="00930D4B">
                  <w:rPr>
                    <w:rStyle w:val="Style54"/>
                    <w:szCs w:val="22"/>
                    <w:lang w:val="hr-HR"/>
                  </w:rPr>
                  <w:t xml:space="preserve"> </w:t>
                </w:r>
                <w:r w:rsidRPr="0064451A">
                  <w:rPr>
                    <w:rStyle w:val="Style54"/>
                    <w:szCs w:val="22"/>
                    <w:lang w:val="hr-HR"/>
                  </w:rPr>
                  <w:t xml:space="preserve">Kolegij </w:t>
                </w:r>
                <w:r w:rsidRPr="0064451A">
                  <w:rPr>
                    <w:rStyle w:val="Style54"/>
                    <w:b/>
                    <w:szCs w:val="22"/>
                    <w:lang w:val="hr-HR"/>
                  </w:rPr>
                  <w:t>Prava i obveze u zdravstvenoj struci</w:t>
                </w:r>
                <w:r w:rsidRPr="0064451A">
                  <w:rPr>
                    <w:rStyle w:val="Style54"/>
                    <w:szCs w:val="22"/>
                    <w:lang w:val="hr-HR"/>
                  </w:rPr>
                  <w:t xml:space="preserve"> obvezni je kolegij na Diplomskom sveučilišnom studiju Fizioterapije. Sastoji se od 15 sati predavanja, 15 sati seminara i 15 sati vježbi i ukupno nosi 5 ECTS-a. Kolegij se izvodi u prostorijama Fakulteta zdravstvenih studija i on-line pomoću platforme Merlin (Srce).  </w:t>
                </w:r>
              </w:p>
              <w:p w14:paraId="74426A65" w14:textId="77777777" w:rsidR="002F1C05" w:rsidRPr="00930D4B" w:rsidRDefault="002F1C05" w:rsidP="002F1C05">
                <w:pPr>
                  <w:pStyle w:val="Default"/>
                  <w:rPr>
                    <w:rStyle w:val="Style54"/>
                    <w:szCs w:val="22"/>
                    <w:lang w:val="hr-HR"/>
                  </w:rPr>
                </w:pPr>
              </w:p>
              <w:p w14:paraId="32F89E3A" w14:textId="77777777" w:rsidR="002F1C05" w:rsidRPr="00930D4B" w:rsidRDefault="002F1C05" w:rsidP="002F1C05">
                <w:pPr>
                  <w:pStyle w:val="Default"/>
                  <w:jc w:val="both"/>
                  <w:rPr>
                    <w:rStyle w:val="Style54"/>
                    <w:szCs w:val="22"/>
                    <w:lang w:val="hr-HR"/>
                  </w:rPr>
                </w:pPr>
                <w:r w:rsidRPr="00930D4B">
                  <w:rPr>
                    <w:rStyle w:val="Style54"/>
                    <w:szCs w:val="22"/>
                    <w:lang w:val="hr-HR"/>
                  </w:rPr>
                  <w:t xml:space="preserve">Svako područje djelovanja u razvijenoj društvenoj zajednici uređeno je brojnim zakonskim i podzakonskim odredbama. </w:t>
                </w:r>
                <w:r w:rsidRPr="00930D4B">
                  <w:rPr>
                    <w:rStyle w:val="Style54"/>
                    <w:b/>
                    <w:szCs w:val="22"/>
                    <w:lang w:val="hr-HR"/>
                  </w:rPr>
                  <w:t>Cilj kolegija</w:t>
                </w:r>
                <w:r w:rsidRPr="00930D4B">
                  <w:rPr>
                    <w:rStyle w:val="Style54"/>
                    <w:szCs w:val="22"/>
                    <w:lang w:val="hr-HR"/>
                  </w:rPr>
                  <w:t xml:space="preserve"> je upoznati studente s razinom prava i jednakosti stanovništva u društvu na razini zdravstvene i socijalne zaštite. Zakonodavstvo je dinamičan proces kojim se uređuje funkcioniranje nekog sustava. Podložan je promjenama, dopunama kao i donošenju novih akata. Studenti će naučiti kako su uređena područja socijalne i zdravstvene skrbi kao dva međusobno povezana i međuovisna područja. Studenti će dobiti pregled prava korisnika zdravstvene i socijalne skrbi kao i prava i obveze djelatnika u tom području. Shvatiti će značaj poznavanja zakonodavnog okvira koji uvelike olakšava djelovanje u okviru pružanja usluga korisnicima. </w:t>
                </w:r>
              </w:p>
              <w:p w14:paraId="06DAE287" w14:textId="77777777" w:rsidR="002F1C05" w:rsidRPr="00930D4B" w:rsidRDefault="002F1C05" w:rsidP="002F1C05">
                <w:pPr>
                  <w:spacing w:after="0" w:line="240" w:lineRule="auto"/>
                  <w:rPr>
                    <w:rFonts w:eastAsia="Times New Roman" w:cs="Calibri"/>
                    <w:b/>
                    <w:bCs/>
                  </w:rPr>
                </w:pPr>
                <w:r w:rsidRPr="00930D4B">
                  <w:rPr>
                    <w:rFonts w:eastAsia="Times New Roman" w:cs="Calibri"/>
                    <w:b/>
                    <w:bCs/>
                  </w:rPr>
                  <w:t>Izvođenje nastave:</w:t>
                </w:r>
              </w:p>
              <w:p w14:paraId="16310526" w14:textId="77777777" w:rsidR="002F1C05" w:rsidRPr="00930D4B" w:rsidRDefault="002F1C05" w:rsidP="002F1C05">
                <w:pPr>
                  <w:spacing w:after="0" w:line="240" w:lineRule="auto"/>
                  <w:jc w:val="both"/>
                  <w:rPr>
                    <w:rFonts w:eastAsia="Times New Roman" w:cs="Calibri"/>
                    <w:lang w:bidi="ta-IN"/>
                  </w:rPr>
                </w:pPr>
                <w:r w:rsidRPr="00930D4B">
                  <w:rPr>
                    <w:rFonts w:eastAsia="Times New Roman" w:cs="Calibri"/>
                    <w:lang w:bidi="ta-IN"/>
                  </w:rPr>
                  <w:t xml:space="preserve">Nastava se izvodi u obliku predavanja, seminara i vježbi. Aktivno sudjelovanje studenta u nastavnom programu nastoji se postići izvođenjem seminara koje studenti unaprijed pripreme, a u predavanja se studente nastoji aktivno uključiti u razmišljanje o tematskoj problematici. Seminari studente pripremaju za samostalno rješavanje problema i integrativno promišljanje. Kroz seminare studenti će biti upoznati s načinima reguliranja smanjivanja nejednakosti u društvu temeljem poštivanja propisanih zakonskih akata. </w:t>
                </w:r>
              </w:p>
              <w:p w14:paraId="7A5DE743" w14:textId="77777777" w:rsidR="002F1C05" w:rsidRPr="00930D4B" w:rsidRDefault="002F1C05" w:rsidP="002F1C05">
                <w:pPr>
                  <w:spacing w:after="0" w:line="240" w:lineRule="auto"/>
                  <w:jc w:val="both"/>
                  <w:rPr>
                    <w:rFonts w:eastAsia="Times New Roman" w:cs="Calibri"/>
                    <w:lang w:bidi="ta-IN"/>
                  </w:rPr>
                </w:pPr>
                <w:r w:rsidRPr="00930D4B">
                  <w:rPr>
                    <w:rFonts w:eastAsia="Times New Roman" w:cs="Calibri"/>
                    <w:lang w:bidi="ta-IN"/>
                  </w:rPr>
                  <w:t xml:space="preserve">Aktivno sudjelovanje studenta u nastavnom programu nastoji se postići samostalnim čitanjem dostupne i provjerene literature, izvođenjem ispravnih zaključaka, povezivanjem teorijskih koncepata s praksom, realizacijom istraživanja i vrednovanjem javnozdravstvenih aktivnosti. Pratit će se i angažman studenata tijekom izvođenja vježbi i seminara.  </w:t>
                </w:r>
              </w:p>
              <w:p w14:paraId="7F7DF337" w14:textId="77777777" w:rsidR="002F1C05" w:rsidRPr="00930D4B" w:rsidRDefault="002F1C05" w:rsidP="002F1C05">
                <w:pPr>
                  <w:spacing w:after="0" w:line="240" w:lineRule="auto"/>
                  <w:jc w:val="both"/>
                  <w:rPr>
                    <w:rFonts w:eastAsia="Times New Roman" w:cs="Calibri"/>
                    <w:lang w:bidi="ta-IN"/>
                  </w:rPr>
                </w:pPr>
                <w:r w:rsidRPr="00930D4B">
                  <w:rPr>
                    <w:rFonts w:eastAsia="Times New Roman" w:cs="Calibri"/>
                    <w:lang w:bidi="ta-IN"/>
                  </w:rPr>
                  <w:t>Student je obvezan pripremiti gradivo o kojem se raspravlja na predavanjima i seminarima.</w:t>
                </w:r>
                <w:r w:rsidRPr="00930D4B">
                  <w:rPr>
                    <w:rFonts w:eastAsia="Times New Roman" w:cs="Calibri"/>
                    <w:b/>
                    <w:lang w:bidi="ta-IN"/>
                  </w:rPr>
                  <w:t xml:space="preserve"> </w:t>
                </w:r>
                <w:r w:rsidRPr="00930D4B">
                  <w:rPr>
                    <w:rFonts w:eastAsia="Times New Roman" w:cs="Calibri"/>
                    <w:lang w:bidi="ta-IN"/>
                  </w:rPr>
                  <w:t>Nastavnik ocjenjuje sudjelovanje studenta u radu seminara (pokazano znanje, razumijevanje, sposobnost postavljanja problema, zaključivanje, itd.).</w:t>
                </w:r>
              </w:p>
              <w:p w14:paraId="3FAD6D41" w14:textId="392FB9FC" w:rsidR="005C2F41" w:rsidRPr="002F1C05" w:rsidRDefault="002F1C05" w:rsidP="002F1C05">
                <w:pPr>
                  <w:pStyle w:val="Default"/>
                  <w:rPr>
                    <w:lang w:val="hr-HR"/>
                  </w:rPr>
                </w:pPr>
                <w:r w:rsidRPr="00930D4B">
                  <w:rPr>
                    <w:rFonts w:ascii="Calibri" w:hAnsi="Calibri" w:cs="Calibri"/>
                    <w:color w:val="auto"/>
                    <w:sz w:val="22"/>
                    <w:szCs w:val="22"/>
                    <w:lang w:val="hr-HR" w:bidi="ar-SA"/>
                  </w:rPr>
                  <w:t>"Zarađeni" bodovi pribrajaju se bodovima dobivenim na završnom ispitu.</w:t>
                </w:r>
              </w:p>
            </w:sdtContent>
          </w:sdt>
        </w:tc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Popis obvezne literature"/>
                <w:tag w:val="Popis obvezne literature"/>
                <w:id w:val="-1416009581"/>
                <w:placeholder>
                  <w:docPart w:val="B213A290F2D84000898DB34B8C2568E3"/>
                </w:placeholder>
              </w:sdt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0C711985" w14:textId="77777777" w:rsidR="002F1C05" w:rsidRDefault="002F1C05" w:rsidP="002F1C05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Ropac D, Stašević I: Socijalno i zdravstveno zakonodavstvo, Medicinska naklada; Zagreb, 2018.</w:t>
                    </w:r>
                  </w:p>
                  <w:p w14:paraId="69ECBC09" w14:textId="77777777" w:rsidR="002F1C05" w:rsidRDefault="002F1C05" w:rsidP="002F1C05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Zakon o Fizioterapijskoj djelatnosti, NN 120/08.</w:t>
                    </w:r>
                  </w:p>
                  <w:p w14:paraId="39F6925E" w14:textId="77777777" w:rsidR="002F1C05" w:rsidRDefault="002F1C05" w:rsidP="002F1C05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Zakon o zdravstvenoj zaštiti NN 150/08</w:t>
                    </w:r>
                  </w:p>
                  <w:p w14:paraId="4C305F31" w14:textId="4359E59B" w:rsidR="005C2F41" w:rsidRPr="00CD3F31" w:rsidRDefault="002F1C05" w:rsidP="002F1C05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Oxford Handbook of Public Health Practice (4edn), edit. I.Kawachi, I. Lang; W. Ricciardi, Comparing Healthcare systems, sep 2020. </w:t>
                    </w:r>
                    <w:r>
                      <w:t xml:space="preserve"> </w:t>
                    </w:r>
                    <w:r w:rsidRPr="00CB5180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DOI: 10.1093/med/</w:t>
                    </w:r>
                  </w:p>
                </w:tc>
              </w:sdtContent>
            </w:sdt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sdt>
              <w:sdtPr>
                <w:alias w:val="Popis predavanja"/>
                <w:tag w:val="Popis predavanja"/>
                <w:id w:val="1989051101"/>
                <w:placeholder>
                  <w:docPart w:val="F0AD41A634D14035AFA885D1F98D392E"/>
                </w:placeholder>
              </w:sdt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5729A413" w14:textId="7DF7BA65" w:rsidR="002F1C05" w:rsidRPr="003064C9" w:rsidRDefault="002F1C05" w:rsidP="002F1C05">
                    <w:pPr>
                      <w:pStyle w:val="Footer"/>
                      <w:outlineLvl w:val="0"/>
                      <w:rPr>
                        <w:b/>
                      </w:rPr>
                    </w:pPr>
                    <w:r w:rsidRPr="003064C9">
                      <w:rPr>
                        <w:b/>
                      </w:rPr>
                      <w:t>P1-P</w:t>
                    </w:r>
                    <w:r w:rsidR="00111C9A">
                      <w:rPr>
                        <w:b/>
                      </w:rPr>
                      <w:t>3</w:t>
                    </w:r>
                    <w:r w:rsidRPr="003064C9">
                      <w:rPr>
                        <w:b/>
                      </w:rPr>
                      <w:t xml:space="preserve"> Pregled zakonske regulative i Ustavne odredbe</w:t>
                    </w:r>
                  </w:p>
                  <w:p w14:paraId="73886037" w14:textId="1B94476D" w:rsidR="002F1C05" w:rsidRPr="003064C9" w:rsidRDefault="002F1C05" w:rsidP="002F1C05">
                    <w:pPr>
                      <w:pStyle w:val="Footer"/>
                      <w:outlineLvl w:val="0"/>
                    </w:pPr>
                    <w:r w:rsidRPr="003064C9">
                      <w:t>Navesti osnovne temelje zakonske legislative u RH</w:t>
                    </w:r>
                  </w:p>
                  <w:p w14:paraId="51E00CB9" w14:textId="69FE43F3" w:rsidR="002F1C05" w:rsidRPr="003064C9" w:rsidRDefault="002F1C05" w:rsidP="002F1C05">
                    <w:pPr>
                      <w:pStyle w:val="Footer"/>
                      <w:outlineLvl w:val="0"/>
                      <w:rPr>
                        <w:bCs/>
                      </w:rPr>
                    </w:pPr>
                    <w:r w:rsidRPr="003064C9">
                      <w:rPr>
                        <w:b/>
                      </w:rPr>
                      <w:t>P</w:t>
                    </w:r>
                    <w:r w:rsidR="00111C9A">
                      <w:rPr>
                        <w:b/>
                      </w:rPr>
                      <w:t>4</w:t>
                    </w:r>
                    <w:r w:rsidRPr="003064C9">
                      <w:rPr>
                        <w:b/>
                      </w:rPr>
                      <w:t>-P</w:t>
                    </w:r>
                    <w:r w:rsidR="00EE10B3">
                      <w:rPr>
                        <w:b/>
                      </w:rPr>
                      <w:t>7</w:t>
                    </w:r>
                    <w:r w:rsidRPr="003064C9">
                      <w:rPr>
                        <w:b/>
                      </w:rPr>
                      <w:t xml:space="preserve"> Zdravstveno zakonodavstvo </w:t>
                    </w:r>
                    <w:r w:rsidRPr="003064C9">
                      <w:rPr>
                        <w:bCs/>
                      </w:rPr>
                      <w:t>(odrednice zdravlja i nejednakosti, Očekivano trajanje života, Vodeći uzroci morbiditeta i mortaliteta)</w:t>
                    </w:r>
                  </w:p>
                  <w:p w14:paraId="1B550108" w14:textId="2284E083" w:rsidR="002F1C05" w:rsidRPr="003064C9" w:rsidRDefault="002F1C05" w:rsidP="002F1C05">
                    <w:pPr>
                      <w:pStyle w:val="Footer"/>
                      <w:outlineLvl w:val="0"/>
                      <w:rPr>
                        <w:bCs/>
                      </w:rPr>
                    </w:pPr>
                    <w:r>
                      <w:t xml:space="preserve">objasniti razlike </w:t>
                    </w:r>
                    <w:r w:rsidRPr="00CA783D">
                      <w:rPr>
                        <w:bCs/>
                      </w:rPr>
                      <w:t>zdravlja i bolesti te raščlaniti najrizičnije čimbenike rizika za zdravlje</w:t>
                    </w:r>
                  </w:p>
                  <w:p w14:paraId="271551FF" w14:textId="3B47E721" w:rsidR="002F1C05" w:rsidRPr="003064C9" w:rsidRDefault="002F1C05" w:rsidP="002F1C05">
                    <w:pPr>
                      <w:pStyle w:val="Footer"/>
                      <w:outlineLvl w:val="0"/>
                      <w:rPr>
                        <w:b/>
                      </w:rPr>
                    </w:pPr>
                    <w:r w:rsidRPr="003064C9">
                      <w:rPr>
                        <w:b/>
                      </w:rPr>
                      <w:t>P</w:t>
                    </w:r>
                    <w:r w:rsidR="00EE10B3">
                      <w:rPr>
                        <w:b/>
                      </w:rPr>
                      <w:t>8</w:t>
                    </w:r>
                    <w:r w:rsidRPr="003064C9">
                      <w:rPr>
                        <w:b/>
                      </w:rPr>
                      <w:t>- P</w:t>
                    </w:r>
                    <w:r w:rsidR="00EE10B3">
                      <w:rPr>
                        <w:b/>
                      </w:rPr>
                      <w:t>9</w:t>
                    </w:r>
                    <w:r w:rsidRPr="003064C9">
                      <w:rPr>
                        <w:b/>
                      </w:rPr>
                      <w:t xml:space="preserve"> Zakon o zdravstvenoj zaštiti, Zakon o zdravstvenom osiguranju</w:t>
                    </w:r>
                  </w:p>
                  <w:p w14:paraId="77F75F0D" w14:textId="5EA5D91B" w:rsidR="002F1C05" w:rsidRPr="003064C9" w:rsidRDefault="002F1C05" w:rsidP="002F1C05">
                    <w:pPr>
                      <w:pStyle w:val="Footer"/>
                      <w:outlineLvl w:val="0"/>
                    </w:pPr>
                    <w:r w:rsidRPr="003064C9">
                      <w:t>objasniti način i organizaciju zdravstvene zaštite i osiguranja</w:t>
                    </w:r>
                  </w:p>
                  <w:p w14:paraId="6806777F" w14:textId="0CF5E983" w:rsidR="002F1C05" w:rsidRPr="003064C9" w:rsidRDefault="002F1C05" w:rsidP="002F1C05">
                    <w:pPr>
                      <w:pStyle w:val="Footer"/>
                      <w:outlineLvl w:val="0"/>
                      <w:rPr>
                        <w:b/>
                      </w:rPr>
                    </w:pPr>
                    <w:r w:rsidRPr="003064C9">
                      <w:rPr>
                        <w:b/>
                      </w:rPr>
                      <w:t>P10</w:t>
                    </w:r>
                    <w:r w:rsidR="00111C9A">
                      <w:rPr>
                        <w:b/>
                      </w:rPr>
                      <w:t xml:space="preserve"> P1</w:t>
                    </w:r>
                    <w:r w:rsidR="00EE10B3">
                      <w:rPr>
                        <w:b/>
                      </w:rPr>
                      <w:t>1</w:t>
                    </w:r>
                    <w:r w:rsidRPr="003064C9">
                      <w:rPr>
                        <w:b/>
                      </w:rPr>
                      <w:t xml:space="preserve"> Financiranje zdravstvene zaštite i financijski zdravstveni pokazatelji</w:t>
                    </w:r>
                  </w:p>
                  <w:p w14:paraId="5B23340D" w14:textId="25B6F3FE" w:rsidR="002F1C05" w:rsidRPr="003064C9" w:rsidRDefault="002F1C05" w:rsidP="002F1C05">
                    <w:pPr>
                      <w:pStyle w:val="Footer"/>
                      <w:outlineLvl w:val="0"/>
                    </w:pPr>
                    <w:r w:rsidRPr="003064C9">
                      <w:t xml:space="preserve">Kritički diskutirati o mogućnostima financiranja </w:t>
                    </w:r>
                    <w:r w:rsidR="00EE10B3">
                      <w:t>zdravstvene zaštite</w:t>
                    </w:r>
                  </w:p>
                  <w:p w14:paraId="59D4B216" w14:textId="77777777" w:rsidR="00EE10B3" w:rsidRDefault="002F1C05" w:rsidP="00EE10B3">
                    <w:pPr>
                      <w:pStyle w:val="Footer"/>
                      <w:outlineLvl w:val="0"/>
                      <w:rPr>
                        <w:bCs/>
                      </w:rPr>
                    </w:pPr>
                    <w:r w:rsidRPr="003064C9">
                      <w:rPr>
                        <w:b/>
                      </w:rPr>
                      <w:t>P1</w:t>
                    </w:r>
                    <w:r w:rsidR="00EE10B3">
                      <w:rPr>
                        <w:b/>
                      </w:rPr>
                      <w:t>2-P13</w:t>
                    </w:r>
                    <w:r w:rsidRPr="003064C9">
                      <w:rPr>
                        <w:b/>
                      </w:rPr>
                      <w:t xml:space="preserve"> Socijalno zakonodavstvo </w:t>
                    </w:r>
                    <w:r w:rsidR="00EE10B3" w:rsidRPr="003064C9">
                      <w:rPr>
                        <w:b/>
                      </w:rPr>
                      <w:t xml:space="preserve"> Socijalna politika i djelatnost u RH</w:t>
                    </w:r>
                  </w:p>
                  <w:p w14:paraId="48674F98" w14:textId="416EFC5F" w:rsidR="00EE10B3" w:rsidRPr="003064C9" w:rsidRDefault="00EE10B3" w:rsidP="00EE10B3">
                    <w:pPr>
                      <w:pStyle w:val="Footer"/>
                      <w:outlineLvl w:val="0"/>
                    </w:pPr>
                    <w:r w:rsidRPr="003064C9">
                      <w:t>Identificirati zakonski okvir unutar kojeg je organizirana socijalna skrb, prava korisnika kao i ustanove koje se bave navedenom djelatnosti</w:t>
                    </w:r>
                  </w:p>
                  <w:p w14:paraId="3B632965" w14:textId="1849E2A5" w:rsidR="002F1C05" w:rsidRPr="00CC3FB3" w:rsidRDefault="002F1C05" w:rsidP="002F1C05">
                    <w:pPr>
                      <w:pStyle w:val="Footer"/>
                      <w:outlineLvl w:val="0"/>
                      <w:rPr>
                        <w:b/>
                      </w:rPr>
                    </w:pPr>
                    <w:r w:rsidRPr="00CC3FB3">
                      <w:rPr>
                        <w:b/>
                      </w:rPr>
                      <w:t>P1</w:t>
                    </w:r>
                    <w:r w:rsidR="00EE10B3">
                      <w:rPr>
                        <w:b/>
                      </w:rPr>
                      <w:t>4</w:t>
                    </w:r>
                    <w:r w:rsidR="00111C9A">
                      <w:rPr>
                        <w:b/>
                      </w:rPr>
                      <w:t xml:space="preserve">- </w:t>
                    </w:r>
                    <w:r w:rsidRPr="00CC3FB3">
                      <w:rPr>
                        <w:b/>
                      </w:rPr>
                      <w:t xml:space="preserve"> P1</w:t>
                    </w:r>
                    <w:r>
                      <w:rPr>
                        <w:b/>
                      </w:rPr>
                      <w:t>5</w:t>
                    </w:r>
                    <w:r w:rsidRPr="00CC3FB3">
                      <w:rPr>
                        <w:b/>
                      </w:rPr>
                      <w:t xml:space="preserve"> </w:t>
                    </w:r>
                    <w:r w:rsidR="00111C9A" w:rsidRPr="003064C9">
                      <w:rPr>
                        <w:b/>
                      </w:rPr>
                      <w:t xml:space="preserve"> Zakon o socijalnoj skrbi</w:t>
                    </w:r>
                    <w:r w:rsidR="00111C9A" w:rsidRPr="00CC3FB3">
                      <w:rPr>
                        <w:b/>
                      </w:rPr>
                      <w:t xml:space="preserve"> </w:t>
                    </w:r>
                    <w:r w:rsidRPr="00CC3FB3">
                      <w:rPr>
                        <w:b/>
                      </w:rPr>
                      <w:t>Zakon o fizioterapeutskoj djelatnosti</w:t>
                    </w:r>
                  </w:p>
                  <w:p w14:paraId="5510E458" w14:textId="4310E699" w:rsidR="005C2F41" w:rsidRPr="00CD3F31" w:rsidRDefault="002F1C05" w:rsidP="002F1C05">
                    <w:pPr>
                      <w:pStyle w:val="Footer"/>
                      <w:outlineLvl w:val="0"/>
                    </w:pPr>
                    <w:r>
                      <w:t>Ishodi učenja: Objasniti fizioterapeutsku djelatnost kroz zakonski okvir</w:t>
                    </w:r>
                  </w:p>
                </w:tc>
              </w:sdtContent>
            </w:sdt>
          </w:sdtContent>
        </w:sdt>
      </w:tr>
    </w:tbl>
    <w:p w14:paraId="2F6E814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A61BED4" w14:textId="1A091DE3" w:rsidR="002F1C05" w:rsidRPr="00837BA6" w:rsidRDefault="002F1C05" w:rsidP="002F1C05">
                <w:pPr>
                  <w:spacing w:after="0"/>
                  <w:rPr>
                    <w:rStyle w:val="Style60"/>
                    <w:b/>
                  </w:rPr>
                </w:pPr>
                <w:r w:rsidRPr="00837BA6">
                  <w:rPr>
                    <w:rStyle w:val="Style60"/>
                    <w:b/>
                  </w:rPr>
                  <w:t>S1-S</w:t>
                </w:r>
                <w:r w:rsidR="00EE7682">
                  <w:rPr>
                    <w:rStyle w:val="Style60"/>
                    <w:b/>
                  </w:rPr>
                  <w:t xml:space="preserve">2- </w:t>
                </w:r>
                <w:r w:rsidRPr="00837BA6">
                  <w:rPr>
                    <w:rStyle w:val="Style60"/>
                    <w:b/>
                  </w:rPr>
                  <w:t>Dostupnost zdravstvene zaštite različitih populacijskih skupina; Kvaliteta dobivene zdravstvene zaštite</w:t>
                </w:r>
              </w:p>
              <w:p w14:paraId="0581F12E" w14:textId="77777777" w:rsidR="00EE7682" w:rsidRDefault="002F1C05" w:rsidP="002F1C05">
                <w:pPr>
                  <w:spacing w:after="0"/>
                  <w:rPr>
                    <w:rStyle w:val="Style60"/>
                  </w:rPr>
                </w:pPr>
                <w:r w:rsidRPr="00837BA6">
                  <w:rPr>
                    <w:rStyle w:val="Style60"/>
                  </w:rPr>
                  <w:t>Prikupljanje pokazatelja o pruženoj zdravstvenoj zaštiti, dostupnosti zdravstvene zaštite i zdravlju stanovništva kroz dostupne baze podataka,</w:t>
                </w:r>
              </w:p>
              <w:p w14:paraId="253BFB87" w14:textId="631C9D26" w:rsidR="00EE7682" w:rsidRPr="00837BA6" w:rsidRDefault="00EE7682" w:rsidP="00EE7682">
                <w:pPr>
                  <w:spacing w:after="0"/>
                  <w:rPr>
                    <w:rStyle w:val="Style60"/>
                    <w:b/>
                  </w:rPr>
                </w:pPr>
                <w:r>
                  <w:rPr>
                    <w:rStyle w:val="Style60"/>
                    <w:b/>
                  </w:rPr>
                  <w:t>S3- S</w:t>
                </w:r>
                <w:r w:rsidR="001F0388">
                  <w:rPr>
                    <w:rStyle w:val="Style60"/>
                    <w:b/>
                  </w:rPr>
                  <w:t>6</w:t>
                </w:r>
                <w:r>
                  <w:rPr>
                    <w:rStyle w:val="Style60"/>
                    <w:b/>
                  </w:rPr>
                  <w:t xml:space="preserve">- </w:t>
                </w:r>
                <w:r w:rsidRPr="00837BA6">
                  <w:rPr>
                    <w:rStyle w:val="Style60"/>
                    <w:b/>
                  </w:rPr>
                  <w:t>Nejednakosti u zdravlju i zdravstvenoj zaštiti</w:t>
                </w:r>
                <w:r w:rsidR="007433D2">
                  <w:rPr>
                    <w:rStyle w:val="Style60"/>
                    <w:b/>
                  </w:rPr>
                  <w:t xml:space="preserve"> različitih populacijskih skupina</w:t>
                </w:r>
              </w:p>
              <w:p w14:paraId="62E2896E" w14:textId="31E28312" w:rsidR="002F1C05" w:rsidRPr="00837BA6" w:rsidRDefault="002F1C05" w:rsidP="002F1C05">
                <w:pPr>
                  <w:spacing w:after="0"/>
                  <w:rPr>
                    <w:rStyle w:val="Style60"/>
                  </w:rPr>
                </w:pPr>
                <w:r w:rsidRPr="00837BA6">
                  <w:rPr>
                    <w:rStyle w:val="Style60"/>
                  </w:rPr>
                  <w:t>kritičko promišljanje i uspoređivanje sa dosadašnjim istraživanjima i zakonskom legislativom</w:t>
                </w:r>
                <w:r w:rsidR="00EE7682">
                  <w:rPr>
                    <w:rStyle w:val="Style60"/>
                  </w:rPr>
                  <w:t xml:space="preserve"> vezana za nejednakom pristupu zdravstvenoj zaštiti</w:t>
                </w:r>
              </w:p>
              <w:p w14:paraId="54A8C380" w14:textId="7DF30F69" w:rsidR="002F1C05" w:rsidRPr="00837BA6" w:rsidRDefault="00EE7682" w:rsidP="002F1C05">
                <w:pPr>
                  <w:spacing w:after="0"/>
                  <w:rPr>
                    <w:rStyle w:val="Style60"/>
                    <w:b/>
                  </w:rPr>
                </w:pPr>
                <w:r>
                  <w:rPr>
                    <w:rStyle w:val="Style60"/>
                    <w:b/>
                  </w:rPr>
                  <w:t>S</w:t>
                </w:r>
                <w:r w:rsidR="001F0388">
                  <w:rPr>
                    <w:rStyle w:val="Style60"/>
                    <w:b/>
                  </w:rPr>
                  <w:t>7</w:t>
                </w:r>
                <w:r>
                  <w:rPr>
                    <w:rStyle w:val="Style60"/>
                    <w:b/>
                  </w:rPr>
                  <w:t>-S</w:t>
                </w:r>
                <w:r w:rsidR="001F0388">
                  <w:rPr>
                    <w:rStyle w:val="Style60"/>
                    <w:b/>
                  </w:rPr>
                  <w:t>10</w:t>
                </w:r>
                <w:r>
                  <w:rPr>
                    <w:rStyle w:val="Style60"/>
                    <w:b/>
                  </w:rPr>
                  <w:t xml:space="preserve"> </w:t>
                </w:r>
                <w:r w:rsidR="002F1C05" w:rsidRPr="00837BA6">
                  <w:rPr>
                    <w:rStyle w:val="Style60"/>
                    <w:b/>
                  </w:rPr>
                  <w:t xml:space="preserve">Položaj i uloga fizioterapeuta u zdravstvenom sustavu- usporedba regulative RH i EU, Dostupnost fizikalne terapije- pravo ili privilegija? </w:t>
                </w:r>
              </w:p>
              <w:p w14:paraId="6E34DD37" w14:textId="77777777" w:rsidR="001F0388" w:rsidRDefault="002F1C05" w:rsidP="002F1C05">
                <w:pPr>
                  <w:spacing w:after="0"/>
                </w:pPr>
                <w:r w:rsidRPr="00837BA6">
                  <w:t>Kritičko promišljanje o zakonskoj regulativi i položaju fizioterapeuta u RH i EU</w:t>
                </w:r>
              </w:p>
              <w:p w14:paraId="7D176E01" w14:textId="4EBDF532" w:rsidR="001F0388" w:rsidRDefault="001F0388" w:rsidP="001F0388">
                <w:pPr>
                  <w:spacing w:after="0"/>
                  <w:rPr>
                    <w:rStyle w:val="Style60"/>
                    <w:b/>
                  </w:rPr>
                </w:pPr>
                <w:r w:rsidRPr="00837BA6">
                  <w:rPr>
                    <w:rStyle w:val="Style60"/>
                    <w:b/>
                  </w:rPr>
                  <w:t>S</w:t>
                </w:r>
                <w:r>
                  <w:rPr>
                    <w:rStyle w:val="Style60"/>
                    <w:b/>
                  </w:rPr>
                  <w:t>11</w:t>
                </w:r>
                <w:r w:rsidRPr="00837BA6">
                  <w:rPr>
                    <w:rStyle w:val="Style60"/>
                    <w:b/>
                  </w:rPr>
                  <w:t>-S</w:t>
                </w:r>
                <w:r>
                  <w:rPr>
                    <w:rStyle w:val="Style60"/>
                    <w:b/>
                  </w:rPr>
                  <w:t>1</w:t>
                </w:r>
                <w:r>
                  <w:rPr>
                    <w:rStyle w:val="Style60"/>
                    <w:b/>
                  </w:rPr>
                  <w:t>5</w:t>
                </w:r>
                <w:r w:rsidRPr="00837BA6">
                  <w:rPr>
                    <w:rStyle w:val="Style60"/>
                    <w:b/>
                  </w:rPr>
                  <w:t xml:space="preserve"> Optimizacija mreža zdravstvene skrbi; </w:t>
                </w:r>
              </w:p>
              <w:p w14:paraId="3D62FA9B" w14:textId="15BE761B" w:rsidR="005C2F41" w:rsidRPr="001F0388" w:rsidRDefault="001F0388" w:rsidP="001F0388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837BA6">
                  <w:t>Prikupljanje podataka o mreži ustanova koje pružaju zdravstvenu skrb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sdt>
              <w:sdtPr>
                <w:rPr>
                  <w:rStyle w:val="Style43"/>
                  <w:lang w:val="hr-HR"/>
                </w:rPr>
                <w:alias w:val="Popis vježbi"/>
                <w:tag w:val="Popis vježbi"/>
                <w:id w:val="1405262364"/>
                <w:placeholder>
                  <w:docPart w:val="3125B5DE91FB44AC97E77A4F0FC4625C"/>
                </w:placeholder>
              </w:sdtPr>
              <w:sdtEndPr>
                <w:rPr>
                  <w:rStyle w:val="Style42"/>
                  <w:color w:val="000000" w:themeColor="text1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2121A42" w14:textId="77777777" w:rsidR="002F1C05" w:rsidRPr="00837BA6" w:rsidRDefault="002F1C05" w:rsidP="002F1C05">
                    <w:pPr>
                      <w:pStyle w:val="Default"/>
                      <w:rPr>
                        <w:rStyle w:val="Style43"/>
                        <w:b/>
                        <w:lang w:val="hr-HR"/>
                      </w:rPr>
                    </w:pPr>
                    <w:r w:rsidRPr="00837BA6">
                      <w:rPr>
                        <w:rStyle w:val="Style43"/>
                        <w:b/>
                        <w:lang w:val="hr-HR"/>
                      </w:rPr>
                      <w:t>V1-15 Procjena zdravstvenog stanja stanovništva i dostupnosti zdravstvene zaštite</w:t>
                    </w:r>
                  </w:p>
                  <w:p w14:paraId="6CBB9FC2" w14:textId="062FF572" w:rsidR="005C2F41" w:rsidRPr="00CD3F31" w:rsidRDefault="002F1C05" w:rsidP="002F1C05">
                    <w:pPr>
                      <w:pStyle w:val="Default"/>
                      <w:rPr>
                        <w:rFonts w:ascii="Calibri" w:hAnsi="Calibri" w:cs="Times New Roman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Style w:val="Style43"/>
                        <w:lang w:val="hr-HR"/>
                      </w:rPr>
                      <w:t>Kreirati bazu podataka sa prikupljenim podacima, grupirati i opisati dobivene rezultate te ih usporediti sa zakonskim regulativama i dosadašnjim programima</w:t>
                    </w:r>
                  </w:p>
                </w:tc>
              </w:sdtContent>
            </w:sdt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0707D1B0" w:rsidR="005C2F41" w:rsidRPr="00CD3F31" w:rsidRDefault="002F1C05" w:rsidP="004D4B18">
                <w:pPr>
                  <w:spacing w:after="0"/>
                  <w:jc w:val="both"/>
                </w:pPr>
                <w:r>
                  <w:rPr>
                    <w:rStyle w:val="Style46"/>
                  </w:rPr>
                  <w:t xml:space="preserve"> Redovito prisustvovanje nastavi, aktivno sudjelovanje u izvođenju vježbi i seminara kroz on-line sustav Merlin</w:t>
                </w:r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E148F4" w14:textId="5C829EBB" w:rsidR="002F1C05" w:rsidRPr="00300BDB" w:rsidRDefault="002F1C05" w:rsidP="002F1C05">
                <w:pPr>
                  <w:rPr>
                    <w:rFonts w:cs="Calibri"/>
                    <w:b/>
                    <w:sz w:val="20"/>
                    <w:szCs w:val="20"/>
                  </w:rPr>
                </w:pPr>
                <w:r w:rsidRPr="00300BDB">
                  <w:rPr>
                    <w:rFonts w:cs="Calibri"/>
                    <w:b/>
                    <w:sz w:val="20"/>
                    <w:szCs w:val="20"/>
                  </w:rPr>
                  <w:t xml:space="preserve"> Način ocjenjivanja </w:t>
                </w:r>
                <w:smartTag w:uri="isiresearchsoft-com/cwyw" w:element="citation">
                  <w:r w:rsidRPr="00300BDB">
                    <w:rPr>
                      <w:rFonts w:cs="Calibri"/>
                      <w:b/>
                      <w:sz w:val="20"/>
                      <w:szCs w:val="20"/>
                    </w:rPr>
                    <w:t>(ECTS bodovni sustav)</w:t>
                  </w:r>
                </w:smartTag>
                <w:r w:rsidRPr="00300BDB">
                  <w:rPr>
                    <w:rFonts w:cs="Calibri"/>
                    <w:b/>
                    <w:sz w:val="20"/>
                    <w:szCs w:val="20"/>
                  </w:rPr>
                  <w:t>:</w:t>
                </w:r>
              </w:p>
              <w:p w14:paraId="21B87DCD" w14:textId="5748F025" w:rsidR="002F1C05" w:rsidRPr="00300BDB" w:rsidRDefault="002F1C05" w:rsidP="002F1C05">
                <w:pPr>
                  <w:rPr>
                    <w:rFonts w:cs="Calibri"/>
                    <w:sz w:val="20"/>
                    <w:szCs w:val="20"/>
                  </w:rPr>
                </w:pPr>
                <w:r w:rsidRPr="00300BDB">
                  <w:rPr>
                    <w:rFonts w:cs="Calibri"/>
                    <w:sz w:val="20"/>
                    <w:szCs w:val="20"/>
                  </w:rPr>
                  <w:t xml:space="preserve">Ocjenjivanje studenata provodi se prema važećem </w:t>
                </w:r>
                <w:r w:rsidRPr="00300BDB">
                  <w:rPr>
                    <w:rFonts w:cs="Calibri"/>
                    <w:b/>
                    <w:sz w:val="20"/>
                    <w:szCs w:val="20"/>
                  </w:rPr>
                  <w:t>Pravilniku o studijima Sveučilišta u Rijeci</w:t>
                </w:r>
                <w:r w:rsidRPr="00300BDB">
                  <w:rPr>
                    <w:rFonts w:cs="Calibri"/>
                    <w:sz w:val="20"/>
                    <w:szCs w:val="20"/>
                  </w:rPr>
                  <w:t xml:space="preserve">, te prema </w:t>
                </w:r>
                <w:r w:rsidRPr="00300BDB">
                  <w:rPr>
                    <w:rFonts w:cs="Calibri"/>
                    <w:b/>
                    <w:sz w:val="20"/>
                    <w:szCs w:val="20"/>
                  </w:rPr>
                  <w:t xml:space="preserve">Pravilniku o ocjenjivanju studenata na </w:t>
                </w:r>
                <w:r w:rsidR="00730C8D">
                  <w:rPr>
                    <w:rFonts w:cs="Calibri"/>
                    <w:b/>
                    <w:sz w:val="20"/>
                    <w:szCs w:val="20"/>
                  </w:rPr>
                  <w:t>F</w:t>
                </w:r>
                <w:r w:rsidRPr="00300BDB">
                  <w:rPr>
                    <w:rFonts w:cs="Calibri"/>
                    <w:b/>
                    <w:sz w:val="20"/>
                    <w:szCs w:val="20"/>
                  </w:rPr>
                  <w:t>akultetu</w:t>
                </w:r>
                <w:r w:rsidR="00730C8D">
                  <w:rPr>
                    <w:rFonts w:cs="Calibri"/>
                    <w:b/>
                    <w:sz w:val="20"/>
                    <w:szCs w:val="20"/>
                  </w:rPr>
                  <w:t xml:space="preserve"> zdravstvenih studija</w:t>
                </w:r>
                <w:r w:rsidRPr="00300BDB">
                  <w:rPr>
                    <w:rFonts w:cs="Calibri"/>
                    <w:b/>
                    <w:sz w:val="20"/>
                    <w:szCs w:val="20"/>
                  </w:rPr>
                  <w:t xml:space="preserve"> u Rijeci</w:t>
                </w:r>
                <w:r w:rsidR="00730C8D">
                  <w:rPr>
                    <w:rFonts w:cs="Calibri"/>
                    <w:sz w:val="20"/>
                    <w:szCs w:val="20"/>
                  </w:rPr>
                  <w:t>.</w:t>
                </w:r>
                <w:r w:rsidRPr="00300BDB">
                  <w:rPr>
                    <w:rFonts w:cs="Calibri"/>
                    <w:sz w:val="20"/>
                    <w:szCs w:val="20"/>
                  </w:rPr>
                  <w:t xml:space="preserve"> </w:t>
                </w:r>
              </w:p>
              <w:p w14:paraId="3DBEEE0D" w14:textId="2431A16C" w:rsidR="002F1C05" w:rsidRDefault="002F1C05" w:rsidP="002F1C05">
                <w:pPr>
                  <w:rPr>
                    <w:rFonts w:cs="Calibri"/>
                    <w:sz w:val="20"/>
                    <w:szCs w:val="20"/>
                  </w:rPr>
                </w:pPr>
                <w:r w:rsidRPr="00300BDB">
                  <w:rPr>
                    <w:rFonts w:cs="Calibri"/>
                    <w:sz w:val="20"/>
                    <w:szCs w:val="20"/>
                  </w:rPr>
                  <w:t xml:space="preserve">Rad studenata vrednovat će se i ocjenjivati tijekom izvođenja nastave, te na završnom ispitu. Od ukupno </w:t>
                </w:r>
                <w:r w:rsidRPr="00300BDB">
                  <w:rPr>
                    <w:rFonts w:cs="Calibri"/>
                    <w:b/>
                    <w:sz w:val="20"/>
                    <w:szCs w:val="20"/>
                  </w:rPr>
                  <w:t>100 bodova</w:t>
                </w:r>
                <w:r w:rsidRPr="00300BDB">
                  <w:rPr>
                    <w:rFonts w:cs="Calibri"/>
                    <w:sz w:val="20"/>
                    <w:szCs w:val="20"/>
                  </w:rPr>
                  <w:t xml:space="preserve">, tijekom nastave student može ostvariti </w:t>
                </w:r>
                <w:r w:rsidRPr="00300BDB">
                  <w:rPr>
                    <w:rFonts w:cs="Calibri"/>
                    <w:b/>
                    <w:sz w:val="20"/>
                    <w:szCs w:val="20"/>
                  </w:rPr>
                  <w:t>50 bodova</w:t>
                </w:r>
                <w:r w:rsidRPr="00300BDB">
                  <w:rPr>
                    <w:rFonts w:cs="Calibri"/>
                    <w:sz w:val="20"/>
                    <w:szCs w:val="20"/>
                  </w:rPr>
                  <w:t xml:space="preserve">, a na završnom ispitu </w:t>
                </w:r>
                <w:r w:rsidRPr="00300BDB">
                  <w:rPr>
                    <w:rFonts w:cs="Calibri"/>
                    <w:b/>
                    <w:sz w:val="20"/>
                    <w:szCs w:val="20"/>
                  </w:rPr>
                  <w:t>50 bodova</w:t>
                </w:r>
                <w:r w:rsidRPr="00300BDB">
                  <w:rPr>
                    <w:rFonts w:cs="Calibri"/>
                    <w:sz w:val="20"/>
                    <w:szCs w:val="20"/>
                  </w:rPr>
                  <w:t xml:space="preserve">. </w:t>
                </w:r>
              </w:p>
              <w:p w14:paraId="55ED19C3" w14:textId="130798F6" w:rsidR="00DD1489" w:rsidRDefault="00DD1489" w:rsidP="00DD1489">
                <w:pPr>
                  <w:rPr>
                    <w:rFonts w:cs="Calibri"/>
                    <w:sz w:val="20"/>
                    <w:szCs w:val="20"/>
                  </w:rPr>
                </w:pPr>
                <w:r w:rsidRPr="00DD1489">
                  <w:rPr>
                    <w:rFonts w:cs="Calibri"/>
                    <w:sz w:val="20"/>
                    <w:szCs w:val="20"/>
                  </w:rPr>
                  <w:t>Ocjenjivanje studenata vrši se primjenom ECTS (A-F) i brojčanog sustava (1-5). Ocjenjivanje u</w:t>
                </w:r>
                <w:r>
                  <w:rPr>
                    <w:rFonts w:cs="Calibri"/>
                    <w:sz w:val="20"/>
                    <w:szCs w:val="20"/>
                  </w:rPr>
                  <w:t xml:space="preserve"> </w:t>
                </w:r>
                <w:r w:rsidRPr="00DD1489">
                  <w:rPr>
                    <w:rFonts w:cs="Calibri"/>
                    <w:sz w:val="20"/>
                    <w:szCs w:val="20"/>
                  </w:rPr>
                  <w:t>ECTS sustavu izvodi se apsolutnom raspodjelom.</w:t>
                </w:r>
              </w:p>
              <w:p w14:paraId="4AE96145" w14:textId="77777777" w:rsidR="00DD1489" w:rsidRPr="002D0866" w:rsidRDefault="00DD1489" w:rsidP="00DD1489">
                <w:pPr>
                  <w:rPr>
                    <w:rFonts w:cs="Calibri"/>
                    <w:b/>
                    <w:bCs/>
                    <w:sz w:val="20"/>
                    <w:szCs w:val="20"/>
                  </w:rPr>
                </w:pPr>
                <w:r w:rsidRPr="002D0866">
                  <w:rPr>
                    <w:rFonts w:cs="Calibri"/>
                    <w:b/>
                    <w:bCs/>
                    <w:sz w:val="20"/>
                    <w:szCs w:val="20"/>
                  </w:rPr>
                  <w:t>Pohađanje nastave</w:t>
                </w:r>
              </w:p>
              <w:p w14:paraId="2583C3E6" w14:textId="325631DD" w:rsidR="00DD1489" w:rsidRPr="00DD1489" w:rsidRDefault="00DD1489" w:rsidP="00DD1489">
                <w:pPr>
                  <w:rPr>
                    <w:rFonts w:cs="Calibri"/>
                    <w:sz w:val="20"/>
                    <w:szCs w:val="20"/>
                  </w:rPr>
                </w:pPr>
                <w:r w:rsidRPr="00DD1489">
                  <w:rPr>
                    <w:rFonts w:cs="Calibri"/>
                    <w:sz w:val="20"/>
                    <w:szCs w:val="20"/>
                  </w:rPr>
                  <w:t>Student može izostati s 30% nastave isključivo zbog zdravstvenih razloga što opravdava</w:t>
                </w:r>
                <w:r>
                  <w:rPr>
                    <w:rFonts w:cs="Calibri"/>
                    <w:sz w:val="20"/>
                    <w:szCs w:val="20"/>
                  </w:rPr>
                  <w:t xml:space="preserve"> </w:t>
                </w:r>
                <w:r w:rsidRPr="00DD1489">
                  <w:rPr>
                    <w:rFonts w:cs="Calibri"/>
                    <w:sz w:val="20"/>
                    <w:szCs w:val="20"/>
                  </w:rPr>
                  <w:t>liječničkom ispričnicom, prisustvovanje na sportskom natjecanju što opravdava potvrdom</w:t>
                </w:r>
                <w:r>
                  <w:rPr>
                    <w:rFonts w:cs="Calibri"/>
                    <w:sz w:val="20"/>
                    <w:szCs w:val="20"/>
                  </w:rPr>
                  <w:t xml:space="preserve"> </w:t>
                </w:r>
                <w:r w:rsidRPr="00DD1489">
                  <w:rPr>
                    <w:rFonts w:cs="Calibri"/>
                    <w:sz w:val="20"/>
                    <w:szCs w:val="20"/>
                  </w:rPr>
                  <w:t>sportskog saveza ili slično. Nazočnost na vježbama je obvezna. Nadoknada vježbi je moguća uz</w:t>
                </w:r>
                <w:r>
                  <w:rPr>
                    <w:rFonts w:cs="Calibri"/>
                    <w:sz w:val="20"/>
                    <w:szCs w:val="20"/>
                  </w:rPr>
                  <w:t xml:space="preserve"> </w:t>
                </w:r>
                <w:r w:rsidRPr="00DD1489">
                  <w:rPr>
                    <w:rFonts w:cs="Calibri"/>
                    <w:sz w:val="20"/>
                    <w:szCs w:val="20"/>
                  </w:rPr>
                  <w:t>prethodni dogovor s voditeljem.</w:t>
                </w:r>
              </w:p>
              <w:p w14:paraId="60BF34A0" w14:textId="3F525E01" w:rsidR="002F1C05" w:rsidRPr="00300BDB" w:rsidRDefault="002F1C05" w:rsidP="00DD1489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cs="Calibri"/>
                    <w:b/>
                    <w:sz w:val="20"/>
                    <w:szCs w:val="20"/>
                    <w:u w:val="single"/>
                  </w:rPr>
                </w:pPr>
                <w:r w:rsidRPr="00300BDB">
                  <w:rPr>
                    <w:rFonts w:cs="Calibri"/>
                    <w:b/>
                    <w:sz w:val="20"/>
                    <w:szCs w:val="20"/>
                    <w:u w:val="single"/>
                  </w:rPr>
                  <w:t xml:space="preserve">Tijekom nastave vrednuje se (maksimalno do 50 bodova): </w:t>
                </w:r>
              </w:p>
              <w:p w14:paraId="2252B80B" w14:textId="77777777" w:rsidR="002F1C05" w:rsidRPr="00300BDB" w:rsidRDefault="002F1C05" w:rsidP="002F1C05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 w:rsidRPr="00300BDB">
                  <w:rPr>
                    <w:rFonts w:cs="Calibri"/>
                    <w:sz w:val="20"/>
                    <w:szCs w:val="20"/>
                  </w:rPr>
                  <w:t>izrada pisanog seminarskog rada (</w:t>
                </w:r>
                <w:r>
                  <w:rPr>
                    <w:rFonts w:cs="Calibri"/>
                    <w:sz w:val="20"/>
                    <w:szCs w:val="20"/>
                  </w:rPr>
                  <w:t>15</w:t>
                </w:r>
                <w:r w:rsidRPr="00300BDB">
                  <w:rPr>
                    <w:rFonts w:cs="Calibri"/>
                    <w:sz w:val="20"/>
                    <w:szCs w:val="20"/>
                  </w:rPr>
                  <w:t xml:space="preserve"> bodova)</w:t>
                </w:r>
              </w:p>
              <w:p w14:paraId="5A6B3046" w14:textId="77777777" w:rsidR="002F1C05" w:rsidRDefault="002F1C05" w:rsidP="002F1C05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 w:rsidRPr="00300BDB">
                  <w:rPr>
                    <w:rFonts w:cs="Calibri"/>
                    <w:sz w:val="20"/>
                    <w:szCs w:val="20"/>
                  </w:rPr>
                  <w:t>prezentacija seminarskog rada (</w:t>
                </w:r>
                <w:r>
                  <w:rPr>
                    <w:rFonts w:cs="Calibri"/>
                    <w:sz w:val="20"/>
                    <w:szCs w:val="20"/>
                  </w:rPr>
                  <w:t>10</w:t>
                </w:r>
                <w:r w:rsidRPr="00300BDB">
                  <w:rPr>
                    <w:rFonts w:cs="Calibri"/>
                    <w:sz w:val="20"/>
                    <w:szCs w:val="20"/>
                  </w:rPr>
                  <w:t xml:space="preserve"> bodova)</w:t>
                </w:r>
              </w:p>
              <w:p w14:paraId="5D27C2B2" w14:textId="77777777" w:rsidR="002F1C05" w:rsidRDefault="002F1C05" w:rsidP="002F1C05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 xml:space="preserve">provođenje vježbi </w:t>
                </w:r>
                <w:r w:rsidRPr="00837BA6">
                  <w:rPr>
                    <w:rFonts w:cs="Calibri"/>
                    <w:sz w:val="20"/>
                    <w:szCs w:val="20"/>
                  </w:rPr>
                  <w:t>(10 bodova)</w:t>
                </w:r>
              </w:p>
              <w:p w14:paraId="59651BA0" w14:textId="78EFA76B" w:rsidR="002F1C05" w:rsidRDefault="002F1C05" w:rsidP="002F1C05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 xml:space="preserve">prezentacija rezultata dobivenih tijekom provođenja vježbi </w:t>
                </w:r>
                <w:r w:rsidRPr="00837BA6">
                  <w:rPr>
                    <w:rFonts w:cs="Calibri"/>
                    <w:sz w:val="20"/>
                    <w:szCs w:val="20"/>
                  </w:rPr>
                  <w:t>(15 bodova)</w:t>
                </w:r>
              </w:p>
              <w:p w14:paraId="1CF69B3D" w14:textId="77777777" w:rsidR="00DD1489" w:rsidRDefault="00DD1489" w:rsidP="00DD1489">
                <w:pPr>
                  <w:spacing w:after="0" w:line="240" w:lineRule="auto"/>
                  <w:ind w:left="720"/>
                  <w:rPr>
                    <w:rFonts w:cs="Calibri"/>
                    <w:sz w:val="20"/>
                    <w:szCs w:val="20"/>
                  </w:rPr>
                </w:pPr>
              </w:p>
              <w:p w14:paraId="16E1B7B9" w14:textId="77777777" w:rsidR="002F1C05" w:rsidRPr="00300BDB" w:rsidRDefault="002F1C05" w:rsidP="002F1C05">
                <w:pPr>
                  <w:rPr>
                    <w:rFonts w:cs="Calibri"/>
                    <w:sz w:val="20"/>
                    <w:szCs w:val="20"/>
                  </w:rPr>
                </w:pPr>
                <w:r w:rsidRPr="00300BDB">
                  <w:rPr>
                    <w:rFonts w:cs="Calibri"/>
                    <w:sz w:val="20"/>
                    <w:szCs w:val="20"/>
                  </w:rPr>
                  <w:t>Uvjet za pristupanje završnom ispitu je prikupljenih minimalno 50% (25 bodova) tijekom nastave. Studenti koji su prikupili nedovoljan broj bodova tijekom nastave za pristupanje završnom ispitu dobiti će dodatni zadatak istraž</w:t>
                </w:r>
                <w:r>
                  <w:rPr>
                    <w:rFonts w:cs="Calibri"/>
                    <w:sz w:val="20"/>
                    <w:szCs w:val="20"/>
                  </w:rPr>
                  <w:t>i</w:t>
                </w:r>
                <w:r w:rsidRPr="00300BDB">
                  <w:rPr>
                    <w:rFonts w:cs="Calibri"/>
                    <w:sz w:val="20"/>
                    <w:szCs w:val="20"/>
                  </w:rPr>
                  <w:t xml:space="preserve">vanja u zajednici. </w:t>
                </w:r>
              </w:p>
              <w:p w14:paraId="6C51EB94" w14:textId="77777777" w:rsidR="002F1C05" w:rsidRPr="00300BDB" w:rsidRDefault="002F1C05" w:rsidP="002F1C05">
                <w:pPr>
                  <w:numPr>
                    <w:ilvl w:val="0"/>
                    <w:numId w:val="2"/>
                  </w:numPr>
                  <w:spacing w:after="0" w:line="240" w:lineRule="auto"/>
                  <w:rPr>
                    <w:rFonts w:cs="Calibri"/>
                    <w:b/>
                    <w:sz w:val="20"/>
                    <w:szCs w:val="20"/>
                  </w:rPr>
                </w:pPr>
                <w:r w:rsidRPr="00300BDB">
                  <w:rPr>
                    <w:rFonts w:cs="Calibri"/>
                    <w:b/>
                    <w:sz w:val="20"/>
                    <w:szCs w:val="20"/>
                    <w:u w:val="single"/>
                  </w:rPr>
                  <w:t>Završni ispit (50 bodova)</w:t>
                </w:r>
                <w:r w:rsidRPr="00300BDB">
                  <w:rPr>
                    <w:rFonts w:cs="Calibri"/>
                    <w:b/>
                    <w:sz w:val="20"/>
                    <w:szCs w:val="20"/>
                  </w:rPr>
                  <w:t xml:space="preserve"> </w:t>
                </w:r>
              </w:p>
              <w:p w14:paraId="1DC76F86" w14:textId="77777777" w:rsidR="002F1C05" w:rsidRPr="00300BDB" w:rsidRDefault="002F1C05" w:rsidP="002F1C05">
                <w:pPr>
                  <w:rPr>
                    <w:rFonts w:cs="Calibri"/>
                    <w:sz w:val="20"/>
                    <w:szCs w:val="20"/>
                    <w:u w:val="single"/>
                  </w:rPr>
                </w:pPr>
                <w:r w:rsidRPr="00300BDB">
                  <w:rPr>
                    <w:rFonts w:cs="Calibri"/>
                    <w:b/>
                    <w:sz w:val="20"/>
                    <w:szCs w:val="20"/>
                  </w:rPr>
                  <w:t xml:space="preserve">Tko </w:t>
                </w:r>
                <w:r w:rsidRPr="00300BDB">
                  <w:rPr>
                    <w:rFonts w:cs="Calibri"/>
                    <w:b/>
                    <w:sz w:val="20"/>
                    <w:szCs w:val="20"/>
                    <w:u w:val="single"/>
                  </w:rPr>
                  <w:t>može</w:t>
                </w:r>
                <w:r w:rsidRPr="00300BDB">
                  <w:rPr>
                    <w:rFonts w:cs="Calibri"/>
                    <w:b/>
                    <w:sz w:val="20"/>
                    <w:szCs w:val="20"/>
                  </w:rPr>
                  <w:t xml:space="preserve"> pristupiti završnom ispitu:</w:t>
                </w:r>
                <w:r>
                  <w:rPr>
                    <w:rFonts w:cs="Calibri"/>
                    <w:b/>
                    <w:sz w:val="20"/>
                    <w:szCs w:val="20"/>
                  </w:rPr>
                  <w:t xml:space="preserve"> </w:t>
                </w:r>
                <w:r w:rsidRPr="00300BDB">
                  <w:rPr>
                    <w:rFonts w:cs="Calibri"/>
                    <w:sz w:val="20"/>
                    <w:szCs w:val="20"/>
                  </w:rPr>
                  <w:t>Završnom ispitu može pristupiti student koji je skupio minimalno 50% bodova na nastavi (25 boda)</w:t>
                </w:r>
              </w:p>
              <w:p w14:paraId="070E2ABF" w14:textId="75DCD34E" w:rsidR="002F1C05" w:rsidRDefault="002F1C05" w:rsidP="002F1C05">
                <w:pPr>
                  <w:rPr>
                    <w:rFonts w:cs="Calibri"/>
                    <w:sz w:val="20"/>
                    <w:szCs w:val="20"/>
                  </w:rPr>
                </w:pPr>
                <w:r w:rsidRPr="00300BDB">
                  <w:rPr>
                    <w:rFonts w:cs="Calibri"/>
                    <w:b/>
                    <w:sz w:val="20"/>
                    <w:szCs w:val="20"/>
                  </w:rPr>
                  <w:t xml:space="preserve">Tko </w:t>
                </w:r>
                <w:r w:rsidRPr="00300BDB">
                  <w:rPr>
                    <w:rFonts w:cs="Calibri"/>
                    <w:b/>
                    <w:sz w:val="20"/>
                    <w:szCs w:val="20"/>
                    <w:u w:val="single"/>
                  </w:rPr>
                  <w:t>ne može</w:t>
                </w:r>
                <w:r w:rsidRPr="00300BDB">
                  <w:rPr>
                    <w:rFonts w:cs="Calibri"/>
                    <w:b/>
                    <w:sz w:val="20"/>
                    <w:szCs w:val="20"/>
                  </w:rPr>
                  <w:t xml:space="preserve"> pristupiti završnom ispitu:</w:t>
                </w:r>
                <w:r>
                  <w:rPr>
                    <w:rFonts w:cs="Calibri"/>
                    <w:b/>
                    <w:sz w:val="20"/>
                    <w:szCs w:val="20"/>
                  </w:rPr>
                  <w:t xml:space="preserve"> </w:t>
                </w:r>
                <w:r w:rsidRPr="00300BDB">
                  <w:rPr>
                    <w:rFonts w:cs="Calibri"/>
                    <w:sz w:val="20"/>
                    <w:szCs w:val="20"/>
                  </w:rPr>
                  <w:t xml:space="preserve">Studenti koji su tijekom nastave ostvarili </w:t>
                </w:r>
                <w:r w:rsidR="00DD1489">
                  <w:rPr>
                    <w:rFonts w:cs="Calibri"/>
                    <w:sz w:val="20"/>
                    <w:szCs w:val="20"/>
                  </w:rPr>
                  <w:t xml:space="preserve">manje od 25 </w:t>
                </w:r>
                <w:r w:rsidRPr="00300BDB">
                  <w:rPr>
                    <w:rFonts w:cs="Calibri"/>
                    <w:sz w:val="20"/>
                    <w:szCs w:val="20"/>
                  </w:rPr>
                  <w:t xml:space="preserve"> bodova ili koji imaju 30% i više izostanaka s nastave. Takav student je neuspješan (1) F i ne može izaći na završni ispit, tj. mora predmet ponovno upisati naredne akademske godine.</w:t>
                </w:r>
              </w:p>
              <w:p w14:paraId="458A844E" w14:textId="77777777" w:rsidR="002F1C05" w:rsidRDefault="002F1C05" w:rsidP="002F1C05">
                <w:pPr>
                  <w:rPr>
                    <w:rFonts w:cs="Calibri"/>
                    <w:sz w:val="20"/>
                    <w:szCs w:val="20"/>
                  </w:rPr>
                </w:pPr>
                <w:r w:rsidRPr="00300BDB">
                  <w:rPr>
                    <w:rFonts w:cs="Calibri"/>
                    <w:sz w:val="20"/>
                    <w:szCs w:val="20"/>
                  </w:rPr>
                  <w:t xml:space="preserve">Završni ispit sastoji se od </w:t>
                </w:r>
                <w:r>
                  <w:rPr>
                    <w:rFonts w:cs="Calibri"/>
                    <w:sz w:val="20"/>
                    <w:szCs w:val="20"/>
                  </w:rPr>
                  <w:t>ukupno maksimalno 50 bodova</w:t>
                </w:r>
                <w:r w:rsidRPr="00300BDB">
                  <w:rPr>
                    <w:rFonts w:cs="Calibri"/>
                    <w:sz w:val="20"/>
                    <w:szCs w:val="20"/>
                  </w:rPr>
                  <w:t xml:space="preserve">. Student koji prikupi manje od polovice mogućih bodova na završnom ispitu (25 ili manje bodova), ne može </w:t>
                </w:r>
                <w:r>
                  <w:rPr>
                    <w:rFonts w:cs="Calibri"/>
                    <w:sz w:val="20"/>
                    <w:szCs w:val="20"/>
                  </w:rPr>
                  <w:t xml:space="preserve">dobiti pozitivnu konačnu ocjenu. </w:t>
                </w:r>
              </w:p>
              <w:p w14:paraId="6E027089" w14:textId="77777777" w:rsidR="002F1C05" w:rsidRDefault="002F1C05" w:rsidP="002F1C05">
                <w:pPr>
                  <w:rPr>
                    <w:rFonts w:cs="Calibri"/>
                    <w:sz w:val="20"/>
                    <w:szCs w:val="20"/>
                  </w:rPr>
                </w:pPr>
                <w:r w:rsidRPr="00300BDB">
                  <w:rPr>
                    <w:rFonts w:cs="Calibri"/>
                    <w:b/>
                    <w:sz w:val="20"/>
                    <w:szCs w:val="20"/>
                  </w:rPr>
                  <w:lastRenderedPageBreak/>
                  <w:t>Konačna ocjena</w:t>
                </w:r>
                <w:r w:rsidRPr="00300BDB">
                  <w:rPr>
                    <w:rFonts w:cs="Calibri"/>
                    <w:sz w:val="20"/>
                    <w:szCs w:val="20"/>
                  </w:rPr>
                  <w:t xml:space="preserve"> je zbroj ECTS ocjene ostvarene tijekom nastave i na završnom ispitu, a utvrđuje se na temelju apsolutne  raspodjele:</w:t>
                </w:r>
              </w:p>
              <w:tbl>
                <w:tblPr>
                  <w:tblW w:w="7655" w:type="dxa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097"/>
                  <w:gridCol w:w="1990"/>
                  <w:gridCol w:w="1568"/>
                </w:tblGrid>
                <w:tr w:rsidR="002F1C05" w:rsidRPr="007437D6" w14:paraId="5CAF3612" w14:textId="77777777" w:rsidTr="00695949">
                  <w:trPr>
                    <w:jc w:val="center"/>
                  </w:trPr>
                  <w:tc>
                    <w:tcPr>
                      <w:tcW w:w="4097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43CC2A0B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Postotak usvojenog znanja, vještina i kompetencija </w:t>
                      </w:r>
                      <w:smartTag w:uri="isiresearchsoft-com/cwyw" w:element="citation">
                        <w:r w:rsidRPr="007437D6">
                          <w:rPr>
                            <w:rFonts w:cs="Calibri"/>
                            <w:b/>
                            <w:sz w:val="18"/>
                            <w:szCs w:val="18"/>
                          </w:rPr>
                          <w:t>(nastava + završni ispit)</w:t>
                        </w:r>
                      </w:smartTag>
                    </w:p>
                  </w:tc>
                  <w:tc>
                    <w:tcPr>
                      <w:tcW w:w="1990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0A75C476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b/>
                          <w:sz w:val="18"/>
                          <w:szCs w:val="18"/>
                        </w:rPr>
                        <w:t>BROJČANA OCJENA</w:t>
                      </w:r>
                    </w:p>
                  </w:tc>
                  <w:tc>
                    <w:tcPr>
                      <w:tcW w:w="1568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62FE9BE3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b/>
                          <w:sz w:val="18"/>
                          <w:szCs w:val="18"/>
                        </w:rPr>
                        <w:t>ECTS ocjena</w:t>
                      </w:r>
                    </w:p>
                  </w:tc>
                </w:tr>
                <w:tr w:rsidR="002F1C05" w:rsidRPr="007437D6" w14:paraId="6ED51B8C" w14:textId="77777777" w:rsidTr="00695949">
                  <w:trPr>
                    <w:jc w:val="center"/>
                  </w:trPr>
                  <w:tc>
                    <w:tcPr>
                      <w:tcW w:w="4097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48BA2BE0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>90-100%</w:t>
                      </w:r>
                    </w:p>
                  </w:tc>
                  <w:tc>
                    <w:tcPr>
                      <w:tcW w:w="1990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29321A53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 xml:space="preserve">5 </w:t>
                      </w:r>
                      <w:smartTag w:uri="isiresearchsoft-com/cwyw" w:element="citation">
                        <w:r w:rsidRPr="007437D6">
                          <w:rPr>
                            <w:rFonts w:cs="Calibri"/>
                            <w:sz w:val="18"/>
                            <w:szCs w:val="18"/>
                          </w:rPr>
                          <w:t>(izvrstan)</w:t>
                        </w:r>
                      </w:smartTag>
                    </w:p>
                  </w:tc>
                  <w:tc>
                    <w:tcPr>
                      <w:tcW w:w="1568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0228B5DA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</w:p>
                  </w:tc>
                </w:tr>
                <w:tr w:rsidR="002F1C05" w:rsidRPr="007437D6" w14:paraId="197420CD" w14:textId="77777777" w:rsidTr="00695949">
                  <w:trPr>
                    <w:jc w:val="center"/>
                  </w:trPr>
                  <w:tc>
                    <w:tcPr>
                      <w:tcW w:w="4097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008EC247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>75-89,9%</w:t>
                      </w:r>
                    </w:p>
                  </w:tc>
                  <w:tc>
                    <w:tcPr>
                      <w:tcW w:w="1990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7FBFBDEF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 xml:space="preserve">4 </w:t>
                      </w:r>
                      <w:smartTag w:uri="isiresearchsoft-com/cwyw" w:element="citation">
                        <w:r w:rsidRPr="007437D6">
                          <w:rPr>
                            <w:rFonts w:cs="Calibri"/>
                            <w:sz w:val="18"/>
                            <w:szCs w:val="18"/>
                          </w:rPr>
                          <w:t>(vrlo dobar)</w:t>
                        </w:r>
                      </w:smartTag>
                    </w:p>
                  </w:tc>
                  <w:tc>
                    <w:tcPr>
                      <w:tcW w:w="1568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79E6771A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>B</w:t>
                      </w:r>
                    </w:p>
                  </w:tc>
                </w:tr>
                <w:tr w:rsidR="002F1C05" w:rsidRPr="007437D6" w14:paraId="2993BF2A" w14:textId="77777777" w:rsidTr="00695949">
                  <w:trPr>
                    <w:jc w:val="center"/>
                  </w:trPr>
                  <w:tc>
                    <w:tcPr>
                      <w:tcW w:w="4097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171B11CC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>60-74,9%</w:t>
                      </w:r>
                    </w:p>
                  </w:tc>
                  <w:tc>
                    <w:tcPr>
                      <w:tcW w:w="1990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048670DE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 xml:space="preserve">3 </w:t>
                      </w:r>
                      <w:smartTag w:uri="isiresearchsoft-com/cwyw" w:element="citation">
                        <w:r w:rsidRPr="007437D6">
                          <w:rPr>
                            <w:rFonts w:cs="Calibri"/>
                            <w:sz w:val="18"/>
                            <w:szCs w:val="18"/>
                          </w:rPr>
                          <w:t>(dobar)</w:t>
                        </w:r>
                      </w:smartTag>
                    </w:p>
                  </w:tc>
                  <w:tc>
                    <w:tcPr>
                      <w:tcW w:w="1568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34A49924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>C</w:t>
                      </w:r>
                    </w:p>
                  </w:tc>
                </w:tr>
                <w:tr w:rsidR="002F1C05" w:rsidRPr="007437D6" w14:paraId="5B1ED56A" w14:textId="77777777" w:rsidTr="00695949">
                  <w:trPr>
                    <w:jc w:val="center"/>
                  </w:trPr>
                  <w:tc>
                    <w:tcPr>
                      <w:tcW w:w="4097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241973DE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>50-59,9%</w:t>
                      </w:r>
                    </w:p>
                  </w:tc>
                  <w:tc>
                    <w:tcPr>
                      <w:tcW w:w="1990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7F7EDBAB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 xml:space="preserve">2 </w:t>
                      </w:r>
                      <w:smartTag w:uri="isiresearchsoft-com/cwyw" w:element="citation">
                        <w:r w:rsidRPr="007437D6">
                          <w:rPr>
                            <w:rFonts w:cs="Calibri"/>
                            <w:sz w:val="18"/>
                            <w:szCs w:val="18"/>
                          </w:rPr>
                          <w:t>(dovoljan)</w:t>
                        </w:r>
                      </w:smartTag>
                    </w:p>
                  </w:tc>
                  <w:tc>
                    <w:tcPr>
                      <w:tcW w:w="1568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40BE2F06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>D</w:t>
                      </w:r>
                    </w:p>
                  </w:tc>
                </w:tr>
                <w:tr w:rsidR="002F1C05" w:rsidRPr="007437D6" w14:paraId="1AA08497" w14:textId="77777777" w:rsidTr="00695949">
                  <w:trPr>
                    <w:trHeight w:val="948"/>
                    <w:jc w:val="center"/>
                  </w:trPr>
                  <w:tc>
                    <w:tcPr>
                      <w:tcW w:w="4097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48EE3459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  <w:lang w:eastAsia="hr-HR"/>
                        </w:rPr>
                        <w:t>0-49,9% ili manje od polovice bodova koje je moguće ostvariti tijekom nastave ili manje od polovice bodova koje je moguće ostvariti na završnom ispitu</w:t>
                      </w:r>
                    </w:p>
                  </w:tc>
                  <w:tc>
                    <w:tcPr>
                      <w:tcW w:w="1990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755B294C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 xml:space="preserve">1 </w:t>
                      </w:r>
                      <w:smartTag w:uri="isiresearchsoft-com/cwyw" w:element="citation">
                        <w:r w:rsidRPr="007437D6">
                          <w:rPr>
                            <w:rFonts w:cs="Calibri"/>
                            <w:sz w:val="18"/>
                            <w:szCs w:val="18"/>
                          </w:rPr>
                          <w:t>(nedovoljan)</w:t>
                        </w:r>
                      </w:smartTag>
                    </w:p>
                  </w:tc>
                  <w:tc>
                    <w:tcPr>
                      <w:tcW w:w="1568" w:type="dxa"/>
                      <w:tcMar>
                        <w:left w:w="85" w:type="dxa"/>
                        <w:right w:w="85" w:type="dxa"/>
                      </w:tcMar>
                      <w:vAlign w:val="center"/>
                    </w:tcPr>
                    <w:p w14:paraId="454C4930" w14:textId="77777777" w:rsidR="002F1C05" w:rsidRPr="007437D6" w:rsidRDefault="002F1C05" w:rsidP="00C51CB5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437D6">
                        <w:rPr>
                          <w:rFonts w:cs="Calibri"/>
                          <w:sz w:val="18"/>
                          <w:szCs w:val="18"/>
                        </w:rPr>
                        <w:t>F</w:t>
                      </w:r>
                    </w:p>
                  </w:tc>
                </w:tr>
              </w:tbl>
              <w:p w14:paraId="02FE1719" w14:textId="6EA42D8E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4C941209" w:rsidR="005C2F41" w:rsidRPr="00CD3F31" w:rsidRDefault="002F1C05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Da, engleski</w:t>
                </w:r>
              </w:p>
            </w:tc>
          </w:sdtContent>
        </w:sdt>
      </w:tr>
    </w:tbl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0918AF77" w:rsidR="005C2F41" w:rsidRPr="00CD3F31" w:rsidRDefault="002F1C05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Ostale napomene"/>
                    <w:tag w:val="Ostale napomene"/>
                    <w:id w:val="-781271322"/>
                    <w:placeholder>
                      <w:docPart w:val="9F0E9107A2EA4C67B53B87C9741E2AF1"/>
                    </w:placeholder>
                  </w:sdtPr>
                  <w:sdtContent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Podrška materijalima na kolegiju provoditi će se putem on-line sustava Merlin (Srce) za koji studenti trebaju pristupati imati AAI identifikaciju. 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47F5E12E" w14:textId="0EEECD52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EB67E1">
        <w:rPr>
          <w:rFonts w:cs="Arial"/>
          <w:b/>
          <w:color w:val="FF0000"/>
          <w:sz w:val="32"/>
        </w:rPr>
        <w:t>2</w:t>
      </w:r>
      <w:r w:rsidR="00596742">
        <w:rPr>
          <w:rFonts w:cs="Arial"/>
          <w:b/>
          <w:color w:val="FF0000"/>
          <w:sz w:val="32"/>
        </w:rPr>
        <w:t>./202</w:t>
      </w:r>
      <w:r w:rsidR="00EB67E1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2D0866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7B262024" w:rsidR="002D0866" w:rsidRPr="00E97498" w:rsidRDefault="00990666" w:rsidP="002D0866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</w:rPr>
              <w:t>05</w:t>
            </w:r>
            <w:r w:rsidR="002D0866" w:rsidRPr="00E97498">
              <w:rPr>
                <w:rFonts w:asciiTheme="minorHAnsi" w:hAnsiTheme="minorHAnsi" w:cstheme="minorHAnsi"/>
                <w:b w:val="0"/>
              </w:rPr>
              <w:t xml:space="preserve">.10. </w:t>
            </w:r>
            <w:r w:rsidR="00DF6277" w:rsidRPr="00E97498">
              <w:rPr>
                <w:rFonts w:asciiTheme="minorHAnsi" w:hAnsiTheme="minorHAnsi" w:cstheme="minorHAnsi"/>
                <w:b w:val="0"/>
              </w:rPr>
              <w:t>202</w:t>
            </w:r>
            <w:r w:rsidR="00111C9A">
              <w:rPr>
                <w:rFonts w:asciiTheme="minorHAnsi" w:hAnsiTheme="minorHAnsi" w:cstheme="minorHAnsi"/>
                <w:b w:val="0"/>
              </w:rPr>
              <w:t>3</w:t>
            </w:r>
            <w:r w:rsidR="00DF6277" w:rsidRPr="00E97498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C0F173" w14:textId="7ED457A3" w:rsidR="002D0866" w:rsidRPr="00E97498" w:rsidRDefault="002D0866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color w:val="auto"/>
                <w:lang w:val="hr-HR"/>
              </w:rPr>
            </w:pPr>
            <w:r w:rsidRPr="00E97498">
              <w:rPr>
                <w:rFonts w:asciiTheme="minorHAnsi" w:hAnsiTheme="minorHAnsi" w:cstheme="minorHAnsi"/>
                <w:color w:val="auto"/>
                <w:lang w:val="hr-HR"/>
              </w:rPr>
              <w:t>P1-P</w:t>
            </w:r>
            <w:r w:rsidR="00990666">
              <w:rPr>
                <w:rFonts w:asciiTheme="minorHAnsi" w:hAnsiTheme="minorHAnsi" w:cstheme="minorHAnsi"/>
                <w:color w:val="auto"/>
                <w:lang w:val="hr-HR"/>
              </w:rPr>
              <w:t>3</w:t>
            </w:r>
          </w:p>
          <w:p w14:paraId="142FAE9A" w14:textId="159A6AA7" w:rsidR="002D0866" w:rsidRDefault="00990666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lang w:val="hr-HR"/>
              </w:rPr>
              <w:t>16,00-19,00</w:t>
            </w:r>
          </w:p>
          <w:p w14:paraId="67130198" w14:textId="1F2CBA3E" w:rsidR="007D2EB9" w:rsidRPr="00E97498" w:rsidRDefault="00111C9A" w:rsidP="00111C9A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lang w:val="hr-HR"/>
              </w:rPr>
              <w:t>Z</w:t>
            </w:r>
            <w:r w:rsidR="00990666">
              <w:rPr>
                <w:rFonts w:asciiTheme="minorHAnsi" w:hAnsiTheme="minorHAnsi" w:cstheme="minorHAnsi"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2D0866" w:rsidRPr="00E97498" w:rsidRDefault="002D0866" w:rsidP="002D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2D0866" w:rsidRPr="00E97498" w:rsidRDefault="002D0866" w:rsidP="002D0866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126E17FC" w:rsidR="002D0866" w:rsidRPr="00E97498" w:rsidRDefault="007433D2" w:rsidP="002D086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7498">
              <w:rPr>
                <w:rFonts w:asciiTheme="minorHAnsi" w:hAnsiTheme="minorHAnsi" w:cstheme="minorHAnsi"/>
              </w:rPr>
              <w:t>Doc. dr.sc. Lovorka Bilajac</w:t>
            </w:r>
            <w:r>
              <w:rPr>
                <w:rFonts w:asciiTheme="minorHAnsi" w:hAnsiTheme="minorHAnsi" w:cstheme="minorHAnsi"/>
              </w:rPr>
              <w:t>, dipl.sanit.ing.</w:t>
            </w:r>
          </w:p>
        </w:tc>
      </w:tr>
      <w:tr w:rsidR="002D0866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61B2095C" w:rsidR="002D0866" w:rsidRPr="00E97498" w:rsidRDefault="00990666" w:rsidP="002D0866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06</w:t>
            </w:r>
            <w:r w:rsidR="002D0866" w:rsidRPr="00E97498">
              <w:rPr>
                <w:rFonts w:asciiTheme="minorHAnsi" w:hAnsiTheme="minorHAnsi" w:cstheme="minorHAnsi"/>
                <w:b w:val="0"/>
              </w:rPr>
              <w:t xml:space="preserve">.10. </w:t>
            </w:r>
            <w:r w:rsidR="00DF6277" w:rsidRPr="00E97498">
              <w:rPr>
                <w:rFonts w:asciiTheme="minorHAnsi" w:hAnsiTheme="minorHAnsi" w:cstheme="minorHAnsi"/>
                <w:b w:val="0"/>
              </w:rPr>
              <w:t>2022.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57F3EA" w14:textId="0A5C3285" w:rsidR="002D0866" w:rsidRDefault="002D0866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color w:val="auto"/>
                <w:lang w:val="hr-HR"/>
              </w:rPr>
            </w:pPr>
            <w:r w:rsidRPr="00E97498">
              <w:rPr>
                <w:rFonts w:asciiTheme="minorHAnsi" w:hAnsiTheme="minorHAnsi" w:cstheme="minorHAnsi"/>
                <w:color w:val="auto"/>
                <w:lang w:val="hr-HR"/>
              </w:rPr>
              <w:t>P</w:t>
            </w:r>
            <w:r w:rsidR="00990666">
              <w:rPr>
                <w:rFonts w:asciiTheme="minorHAnsi" w:hAnsiTheme="minorHAnsi" w:cstheme="minorHAnsi"/>
                <w:color w:val="auto"/>
                <w:lang w:val="hr-HR"/>
              </w:rPr>
              <w:t>4-</w:t>
            </w:r>
            <w:r w:rsidRPr="00E97498">
              <w:rPr>
                <w:rFonts w:asciiTheme="minorHAnsi" w:hAnsiTheme="minorHAnsi" w:cstheme="minorHAnsi"/>
                <w:color w:val="auto"/>
                <w:lang w:val="hr-HR"/>
              </w:rPr>
              <w:t>P</w:t>
            </w:r>
            <w:r w:rsidR="00990666">
              <w:rPr>
                <w:rFonts w:asciiTheme="minorHAnsi" w:hAnsiTheme="minorHAnsi" w:cstheme="minorHAnsi"/>
                <w:color w:val="auto"/>
                <w:lang w:val="hr-HR"/>
              </w:rPr>
              <w:t>7</w:t>
            </w:r>
          </w:p>
          <w:p w14:paraId="34C6E589" w14:textId="42A91458" w:rsidR="002D0866" w:rsidRDefault="00990666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lang w:val="hr-HR"/>
              </w:rPr>
              <w:t>11,00-14,00</w:t>
            </w:r>
          </w:p>
          <w:p w14:paraId="0BBFD0EA" w14:textId="64A49097" w:rsidR="00111C9A" w:rsidRPr="00E97498" w:rsidRDefault="00111C9A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lang w:val="hr-HR"/>
              </w:rPr>
              <w:t>Z</w:t>
            </w:r>
            <w:r w:rsidR="00990666">
              <w:rPr>
                <w:rFonts w:asciiTheme="minorHAnsi" w:hAnsiTheme="minorHAnsi" w:cstheme="minorHAnsi"/>
                <w:color w:val="auto"/>
                <w:lang w:val="hr-HR"/>
              </w:rPr>
              <w:t>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2D0866" w:rsidRPr="00E97498" w:rsidRDefault="002D0866" w:rsidP="002D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2D0866" w:rsidRPr="00E97498" w:rsidRDefault="002D0866" w:rsidP="002D0866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33C88F8C" w:rsidR="002D0866" w:rsidRPr="00111C9A" w:rsidRDefault="00930D4B" w:rsidP="00111C9A">
            <w:pPr>
              <w:jc w:val="center"/>
              <w:rPr>
                <w:rFonts w:asciiTheme="minorHAnsi" w:hAnsiTheme="minorHAnsi" w:cstheme="minorHAnsi"/>
              </w:rPr>
            </w:pPr>
            <w:r w:rsidRPr="00E97498">
              <w:rPr>
                <w:rFonts w:asciiTheme="minorHAnsi" w:hAnsiTheme="minorHAnsi" w:cstheme="minorHAnsi"/>
              </w:rPr>
              <w:t xml:space="preserve">Doc. dr.sc. Vanja Ivković, dr. med </w:t>
            </w:r>
          </w:p>
        </w:tc>
      </w:tr>
      <w:tr w:rsidR="00111C9A" w:rsidRPr="00CD3F31" w14:paraId="1B8C1FB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2CF3ED" w14:textId="16B3B71D" w:rsidR="00111C9A" w:rsidRDefault="00111C9A" w:rsidP="002D0866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19.10.2023.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17F0AD" w14:textId="49C3D71C" w:rsidR="00111C9A" w:rsidRDefault="00111C9A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lang w:val="hr-HR"/>
              </w:rPr>
              <w:t>P</w:t>
            </w:r>
            <w:r w:rsidR="00990666">
              <w:rPr>
                <w:rFonts w:asciiTheme="minorHAnsi" w:hAnsiTheme="minorHAnsi" w:cstheme="minorHAnsi"/>
                <w:color w:val="auto"/>
                <w:lang w:val="hr-HR"/>
              </w:rPr>
              <w:t xml:space="preserve">8- </w:t>
            </w:r>
            <w:r>
              <w:rPr>
                <w:rFonts w:asciiTheme="minorHAnsi" w:hAnsiTheme="minorHAnsi" w:cstheme="minorHAnsi"/>
                <w:color w:val="auto"/>
                <w:lang w:val="hr-HR"/>
              </w:rPr>
              <w:t>P</w:t>
            </w:r>
            <w:r w:rsidR="00990666">
              <w:rPr>
                <w:rFonts w:asciiTheme="minorHAnsi" w:hAnsiTheme="minorHAnsi" w:cstheme="minorHAnsi"/>
                <w:color w:val="auto"/>
                <w:lang w:val="hr-HR"/>
              </w:rPr>
              <w:t>11</w:t>
            </w:r>
          </w:p>
          <w:p w14:paraId="6A83D4B5" w14:textId="77777777" w:rsidR="00111C9A" w:rsidRDefault="00111C9A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lang w:val="hr-HR"/>
              </w:rPr>
              <w:t>13,00-16,00</w:t>
            </w:r>
          </w:p>
          <w:p w14:paraId="56968B29" w14:textId="0B7EA10C" w:rsidR="00111C9A" w:rsidRPr="00E97498" w:rsidRDefault="00111C9A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  <w:color w:val="auto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658958" w14:textId="77777777" w:rsidR="00111C9A" w:rsidRPr="00E97498" w:rsidRDefault="00111C9A" w:rsidP="002D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52F2ED" w14:textId="77777777" w:rsidR="00111C9A" w:rsidRPr="00E97498" w:rsidRDefault="00111C9A" w:rsidP="002D0866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3E2E88" w14:textId="03A39DFB" w:rsidR="00111C9A" w:rsidRPr="00E97498" w:rsidRDefault="00EE10B3" w:rsidP="002D0866">
            <w:pPr>
              <w:jc w:val="center"/>
              <w:rPr>
                <w:rFonts w:asciiTheme="minorHAnsi" w:hAnsiTheme="minorHAnsi" w:cstheme="minorHAnsi"/>
              </w:rPr>
            </w:pPr>
            <w:r w:rsidRPr="00EE10B3">
              <w:rPr>
                <w:rFonts w:asciiTheme="minorHAnsi" w:hAnsiTheme="minorHAnsi" w:cstheme="minorHAnsi"/>
              </w:rPr>
              <w:t>Doc. dr.sc. Vanja Ivković, dr. med</w:t>
            </w:r>
          </w:p>
        </w:tc>
      </w:tr>
      <w:tr w:rsidR="00930D4B" w:rsidRPr="00CD3F31" w14:paraId="7D6BC327" w14:textId="77777777" w:rsidTr="00670918">
        <w:trPr>
          <w:trHeight w:val="862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6EAD1D" w14:textId="6282DB2E" w:rsidR="00930D4B" w:rsidRPr="00E97498" w:rsidRDefault="00111C9A" w:rsidP="002D0866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20.10.2023.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DF8313" w14:textId="2CD87034" w:rsidR="00930D4B" w:rsidRDefault="00930D4B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</w:rPr>
            </w:pPr>
            <w:r w:rsidRPr="00E97498">
              <w:rPr>
                <w:rFonts w:asciiTheme="minorHAnsi" w:hAnsiTheme="minorHAnsi" w:cstheme="minorHAnsi"/>
                <w:color w:val="auto"/>
                <w:lang w:val="hr-HR"/>
              </w:rPr>
              <w:t>P</w:t>
            </w:r>
            <w:r w:rsidRPr="00E97498">
              <w:rPr>
                <w:rFonts w:asciiTheme="minorHAnsi" w:hAnsiTheme="minorHAnsi" w:cstheme="minorHAnsi"/>
              </w:rPr>
              <w:t>1</w:t>
            </w:r>
            <w:r w:rsidR="00990666">
              <w:rPr>
                <w:rFonts w:asciiTheme="minorHAnsi" w:hAnsiTheme="minorHAnsi" w:cstheme="minorHAnsi"/>
              </w:rPr>
              <w:t>2</w:t>
            </w:r>
            <w:r w:rsidRPr="00E97498">
              <w:rPr>
                <w:rFonts w:asciiTheme="minorHAnsi" w:hAnsiTheme="minorHAnsi" w:cstheme="minorHAnsi"/>
              </w:rPr>
              <w:t>-</w:t>
            </w:r>
            <w:r w:rsidR="00990666">
              <w:rPr>
                <w:rFonts w:asciiTheme="minorHAnsi" w:hAnsiTheme="minorHAnsi" w:cstheme="minorHAnsi"/>
              </w:rPr>
              <w:t>P15</w:t>
            </w:r>
          </w:p>
          <w:p w14:paraId="70110BD3" w14:textId="77777777" w:rsidR="00111C9A" w:rsidRDefault="00111C9A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8,00-11,00</w:t>
            </w:r>
          </w:p>
          <w:p w14:paraId="1DF41D0F" w14:textId="6204248B" w:rsidR="00111C9A" w:rsidRPr="00E97498" w:rsidRDefault="00111C9A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color w:val="auto"/>
                <w:lang w:val="hr-HR"/>
              </w:rPr>
            </w:pPr>
            <w:r>
              <w:rPr>
                <w:rFonts w:asciiTheme="minorHAnsi" w:hAnsiTheme="minorHAnsi" w:cstheme="minorHAnsi"/>
              </w:rPr>
              <w:t>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0B9507" w14:textId="77777777" w:rsidR="00930D4B" w:rsidRPr="00E97498" w:rsidRDefault="00930D4B" w:rsidP="002D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60F973" w14:textId="77777777" w:rsidR="00930D4B" w:rsidRPr="00E97498" w:rsidRDefault="00930D4B" w:rsidP="002D0866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E6453" w14:textId="646CE20D" w:rsidR="00930D4B" w:rsidRPr="00E97498" w:rsidRDefault="00EE10B3" w:rsidP="002D0866">
            <w:pPr>
              <w:jc w:val="center"/>
              <w:rPr>
                <w:rFonts w:asciiTheme="minorHAnsi" w:hAnsiTheme="minorHAnsi" w:cstheme="minorHAnsi"/>
              </w:rPr>
            </w:pPr>
            <w:r w:rsidRPr="00EE10B3">
              <w:rPr>
                <w:rFonts w:asciiTheme="minorHAnsi" w:hAnsiTheme="minorHAnsi" w:cstheme="minorHAnsi"/>
              </w:rPr>
              <w:t xml:space="preserve">Kristijan Zulle, mag. </w:t>
            </w:r>
            <w:r w:rsidR="00EE7682">
              <w:rPr>
                <w:rFonts w:asciiTheme="minorHAnsi" w:hAnsiTheme="minorHAnsi" w:cstheme="minorHAnsi"/>
              </w:rPr>
              <w:t>p</w:t>
            </w:r>
            <w:r w:rsidRPr="00EE10B3">
              <w:rPr>
                <w:rFonts w:asciiTheme="minorHAnsi" w:hAnsiTheme="minorHAnsi" w:cstheme="minorHAnsi"/>
              </w:rPr>
              <w:t>hysio.</w:t>
            </w:r>
          </w:p>
        </w:tc>
      </w:tr>
      <w:tr w:rsidR="00111C9A" w:rsidRPr="00CD3F31" w14:paraId="319F4FD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768DF5" w14:textId="200C6BF7" w:rsidR="00111C9A" w:rsidRPr="00111C9A" w:rsidRDefault="00111C9A" w:rsidP="00111C9A">
            <w:pPr>
              <w:pStyle w:val="Caption"/>
              <w:ind w:left="447" w:hanging="14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30AD5F" w14:textId="06554AC5" w:rsidR="00111C9A" w:rsidRPr="00E97498" w:rsidRDefault="00111C9A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77E649" w14:textId="77777777" w:rsidR="00111C9A" w:rsidRPr="00E97498" w:rsidRDefault="00111C9A" w:rsidP="002D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BABA0" w14:textId="6F5787E5" w:rsidR="00670918" w:rsidRPr="00D137B4" w:rsidRDefault="00670918" w:rsidP="006709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V1-V4</w:t>
            </w:r>
          </w:p>
          <w:p w14:paraId="5CA3EF5E" w14:textId="09D992FB" w:rsidR="00670918" w:rsidRPr="00D137B4" w:rsidRDefault="00670918" w:rsidP="006709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16,00-19,00</w:t>
            </w:r>
          </w:p>
          <w:p w14:paraId="18CA5105" w14:textId="1822C59D" w:rsidR="00111C9A" w:rsidRPr="00D137B4" w:rsidRDefault="00670918" w:rsidP="00670918">
            <w:pPr>
              <w:jc w:val="center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D137B4">
              <w:rPr>
                <w:rFonts w:asciiTheme="minorHAnsi" w:hAnsiTheme="minorHAnsi" w:cstheme="minorHAnsi"/>
                <w:bCs/>
              </w:rPr>
              <w:t>Z7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92DFC5" w14:textId="61A90B29" w:rsidR="00111C9A" w:rsidRPr="00E97498" w:rsidRDefault="007433D2" w:rsidP="002D0866">
            <w:pPr>
              <w:jc w:val="center"/>
              <w:rPr>
                <w:rFonts w:asciiTheme="minorHAnsi" w:hAnsiTheme="minorHAnsi" w:cstheme="minorHAnsi"/>
              </w:rPr>
            </w:pPr>
            <w:r w:rsidRPr="00E97498">
              <w:rPr>
                <w:rFonts w:asciiTheme="minorHAnsi" w:hAnsiTheme="minorHAnsi" w:cstheme="minorHAnsi"/>
              </w:rPr>
              <w:t>Doc. dr.sc. Lovorka Bilajac</w:t>
            </w:r>
            <w:r>
              <w:rPr>
                <w:rFonts w:asciiTheme="minorHAnsi" w:hAnsiTheme="minorHAnsi" w:cstheme="minorHAnsi"/>
              </w:rPr>
              <w:t>, dipl.sanit.ing.</w:t>
            </w:r>
          </w:p>
        </w:tc>
      </w:tr>
      <w:tr w:rsidR="002D0866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0CB371BF" w:rsidR="002D0866" w:rsidRPr="00E97498" w:rsidRDefault="0021477E" w:rsidP="002D0866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3.11</w:t>
            </w:r>
            <w:r w:rsidR="002D0866" w:rsidRPr="00E97498">
              <w:rPr>
                <w:rFonts w:asciiTheme="minorHAnsi" w:hAnsiTheme="minorHAnsi" w:cstheme="minorHAnsi"/>
                <w:b w:val="0"/>
              </w:rPr>
              <w:t>.</w:t>
            </w:r>
            <w:r w:rsidR="00DF6277" w:rsidRPr="00E97498">
              <w:rPr>
                <w:rFonts w:asciiTheme="minorHAnsi" w:hAnsiTheme="minorHAnsi" w:cstheme="minorHAnsi"/>
              </w:rPr>
              <w:t xml:space="preserve"> </w:t>
            </w:r>
            <w:r w:rsidR="00DF6277" w:rsidRPr="00E97498">
              <w:rPr>
                <w:rFonts w:asciiTheme="minorHAnsi" w:hAnsiTheme="minorHAnsi" w:cstheme="minorHAnsi"/>
                <w:b w:val="0"/>
              </w:rPr>
              <w:t>202</w:t>
            </w:r>
            <w:r>
              <w:rPr>
                <w:rFonts w:asciiTheme="minorHAnsi" w:hAnsiTheme="minorHAnsi" w:cstheme="minorHAnsi"/>
                <w:b w:val="0"/>
              </w:rPr>
              <w:t>3</w:t>
            </w:r>
            <w:r w:rsidR="00DF6277" w:rsidRPr="00E97498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2D0866" w:rsidRPr="00E97498" w:rsidRDefault="002D0866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2D0866" w:rsidRPr="00E97498" w:rsidRDefault="002D0866" w:rsidP="002D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0FECAA" w14:textId="65735AB0" w:rsidR="00670918" w:rsidRPr="00D137B4" w:rsidRDefault="00670918" w:rsidP="006709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V5-V8</w:t>
            </w:r>
          </w:p>
          <w:p w14:paraId="6EF70C86" w14:textId="3B7C47BB" w:rsidR="00670918" w:rsidRPr="00D137B4" w:rsidRDefault="00670918" w:rsidP="006709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11,00-14,00</w:t>
            </w:r>
          </w:p>
          <w:p w14:paraId="7D3F7416" w14:textId="16A8578F" w:rsidR="0021477E" w:rsidRPr="00D137B4" w:rsidRDefault="00670918" w:rsidP="006709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Z7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7FAE4B1D" w:rsidR="002D0866" w:rsidRPr="00E97498" w:rsidRDefault="00930D4B" w:rsidP="002D086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7498">
              <w:rPr>
                <w:rFonts w:asciiTheme="minorHAnsi" w:hAnsiTheme="minorHAnsi" w:cstheme="minorHAnsi"/>
              </w:rPr>
              <w:t xml:space="preserve">Kristijan Zulle, mag. </w:t>
            </w:r>
            <w:r w:rsidR="00EE7682">
              <w:rPr>
                <w:rFonts w:asciiTheme="minorHAnsi" w:hAnsiTheme="minorHAnsi" w:cstheme="minorHAnsi"/>
              </w:rPr>
              <w:t>p</w:t>
            </w:r>
            <w:r w:rsidRPr="00E97498">
              <w:rPr>
                <w:rFonts w:asciiTheme="minorHAnsi" w:hAnsiTheme="minorHAnsi" w:cstheme="minorHAnsi"/>
              </w:rPr>
              <w:t>hysio.</w:t>
            </w:r>
          </w:p>
        </w:tc>
      </w:tr>
      <w:tr w:rsidR="002D0866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08D6EBC3" w:rsidR="002D0866" w:rsidRPr="00E97498" w:rsidRDefault="0021477E" w:rsidP="002D0866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lastRenderedPageBreak/>
              <w:t>16.11.2023.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2D0866" w:rsidRPr="00E97498" w:rsidRDefault="002D0866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2D0866" w:rsidRPr="00E97498" w:rsidRDefault="002D0866" w:rsidP="002D0866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277138" w14:textId="2E5A12D7" w:rsidR="002D0866" w:rsidRPr="00D137B4" w:rsidRDefault="0021477E" w:rsidP="002D086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V</w:t>
            </w:r>
            <w:r w:rsidR="00670918" w:rsidRPr="00D137B4">
              <w:rPr>
                <w:rFonts w:asciiTheme="minorHAnsi" w:hAnsiTheme="minorHAnsi" w:cstheme="minorHAnsi"/>
                <w:bCs/>
              </w:rPr>
              <w:t>9</w:t>
            </w:r>
            <w:r w:rsidRPr="00D137B4">
              <w:rPr>
                <w:rFonts w:asciiTheme="minorHAnsi" w:hAnsiTheme="minorHAnsi" w:cstheme="minorHAnsi"/>
                <w:bCs/>
              </w:rPr>
              <w:t>-V</w:t>
            </w:r>
            <w:r w:rsidR="00670918" w:rsidRPr="00D137B4">
              <w:rPr>
                <w:rFonts w:asciiTheme="minorHAnsi" w:hAnsiTheme="minorHAnsi" w:cstheme="minorHAnsi"/>
                <w:bCs/>
              </w:rPr>
              <w:t>12</w:t>
            </w:r>
          </w:p>
          <w:p w14:paraId="489B89A4" w14:textId="7BD49F77" w:rsidR="0021477E" w:rsidRPr="00D137B4" w:rsidRDefault="0021477E" w:rsidP="002D086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16,00-19,00</w:t>
            </w:r>
          </w:p>
          <w:p w14:paraId="136B4B2E" w14:textId="15A5B5D3" w:rsidR="002D0866" w:rsidRPr="00D137B4" w:rsidRDefault="0021477E" w:rsidP="002147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Z7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7FD077E7" w:rsidR="002D0866" w:rsidRPr="00E97498" w:rsidRDefault="00930D4B" w:rsidP="002D086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7498">
              <w:rPr>
                <w:rFonts w:asciiTheme="minorHAnsi" w:hAnsiTheme="minorHAnsi" w:cstheme="minorHAnsi"/>
              </w:rPr>
              <w:t>Doc. dr.sc. Vanja Ivković, dr. med</w:t>
            </w:r>
          </w:p>
        </w:tc>
      </w:tr>
      <w:tr w:rsidR="0021477E" w:rsidRPr="00CD3F31" w14:paraId="51F2FF8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75155" w14:textId="750223E9" w:rsidR="0021477E" w:rsidRDefault="0021477E" w:rsidP="002D0866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17.11.2023.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A8285D" w14:textId="77777777" w:rsidR="0021477E" w:rsidRPr="00E97498" w:rsidRDefault="0021477E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211C47" w14:textId="77777777" w:rsidR="0021477E" w:rsidRPr="00D137B4" w:rsidRDefault="0021477E" w:rsidP="002D086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BFA2D" w14:textId="37357C90" w:rsidR="0021477E" w:rsidRPr="00D137B4" w:rsidRDefault="0021477E" w:rsidP="002D086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V</w:t>
            </w:r>
            <w:r w:rsidR="00670918" w:rsidRPr="00D137B4">
              <w:rPr>
                <w:rFonts w:asciiTheme="minorHAnsi" w:hAnsiTheme="minorHAnsi" w:cstheme="minorHAnsi"/>
                <w:bCs/>
              </w:rPr>
              <w:t>13</w:t>
            </w:r>
            <w:r w:rsidRPr="00D137B4">
              <w:rPr>
                <w:rFonts w:asciiTheme="minorHAnsi" w:hAnsiTheme="minorHAnsi" w:cstheme="minorHAnsi"/>
                <w:bCs/>
              </w:rPr>
              <w:t>-V</w:t>
            </w:r>
            <w:r w:rsidR="00670918" w:rsidRPr="00D137B4">
              <w:rPr>
                <w:rFonts w:asciiTheme="minorHAnsi" w:hAnsiTheme="minorHAnsi" w:cstheme="minorHAnsi"/>
                <w:bCs/>
              </w:rPr>
              <w:t>15</w:t>
            </w:r>
          </w:p>
          <w:p w14:paraId="7227D135" w14:textId="1A36BA97" w:rsidR="0021477E" w:rsidRPr="00D137B4" w:rsidRDefault="0021477E" w:rsidP="002D086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11,00-</w:t>
            </w:r>
            <w:r w:rsidR="00670918" w:rsidRPr="00D137B4">
              <w:rPr>
                <w:rFonts w:asciiTheme="minorHAnsi" w:hAnsiTheme="minorHAnsi" w:cstheme="minorHAnsi"/>
                <w:bCs/>
              </w:rPr>
              <w:t>13,30</w:t>
            </w:r>
          </w:p>
          <w:p w14:paraId="304694E1" w14:textId="7FB1A70B" w:rsidR="0021477E" w:rsidRPr="00D137B4" w:rsidRDefault="0021477E" w:rsidP="002D086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Z5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CA4CDA" w14:textId="085FA66E" w:rsidR="0021477E" w:rsidRPr="00E97498" w:rsidRDefault="00EE7682" w:rsidP="002D0866">
            <w:pPr>
              <w:jc w:val="center"/>
              <w:rPr>
                <w:rFonts w:asciiTheme="minorHAnsi" w:hAnsiTheme="minorHAnsi" w:cstheme="minorHAnsi"/>
              </w:rPr>
            </w:pPr>
            <w:r w:rsidRPr="00EE7682">
              <w:rPr>
                <w:rFonts w:asciiTheme="minorHAnsi" w:hAnsiTheme="minorHAnsi" w:cstheme="minorHAnsi"/>
              </w:rPr>
              <w:t>Kristijan Zulle, mag. Physio.</w:t>
            </w:r>
          </w:p>
        </w:tc>
      </w:tr>
      <w:tr w:rsidR="0021477E" w:rsidRPr="00CD3F31" w14:paraId="0918BB7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CABD80" w14:textId="513D5206" w:rsidR="0021477E" w:rsidRDefault="0021477E" w:rsidP="002D0866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</w:t>
            </w:r>
            <w:r w:rsidR="00670918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D4C8A4" w14:textId="77777777" w:rsidR="0021477E" w:rsidRPr="00E97498" w:rsidRDefault="0021477E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AB1C6E" w14:textId="23244770" w:rsidR="0021477E" w:rsidRPr="00D137B4" w:rsidRDefault="0021477E" w:rsidP="002147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S1-S</w:t>
            </w:r>
            <w:r w:rsidR="00670918" w:rsidRPr="00D137B4">
              <w:rPr>
                <w:rFonts w:asciiTheme="minorHAnsi" w:hAnsiTheme="minorHAnsi" w:cstheme="minorHAnsi"/>
                <w:bCs/>
              </w:rPr>
              <w:t>2</w:t>
            </w:r>
          </w:p>
          <w:p w14:paraId="746E6C98" w14:textId="1895D175" w:rsidR="0021477E" w:rsidRPr="00D137B4" w:rsidRDefault="00670918" w:rsidP="002147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13,30</w:t>
            </w:r>
            <w:r w:rsidR="0021477E" w:rsidRPr="00D137B4">
              <w:rPr>
                <w:rFonts w:asciiTheme="minorHAnsi" w:hAnsiTheme="minorHAnsi" w:cstheme="minorHAnsi"/>
                <w:bCs/>
              </w:rPr>
              <w:t>-1</w:t>
            </w:r>
            <w:r w:rsidRPr="00D137B4">
              <w:rPr>
                <w:rFonts w:asciiTheme="minorHAnsi" w:hAnsiTheme="minorHAnsi" w:cstheme="minorHAnsi"/>
                <w:bCs/>
              </w:rPr>
              <w:t>5</w:t>
            </w:r>
            <w:r w:rsidR="0021477E" w:rsidRPr="00D137B4">
              <w:rPr>
                <w:rFonts w:asciiTheme="minorHAnsi" w:hAnsiTheme="minorHAnsi" w:cstheme="minorHAnsi"/>
                <w:bCs/>
              </w:rPr>
              <w:t>,00</w:t>
            </w:r>
          </w:p>
          <w:p w14:paraId="6A22200E" w14:textId="4C05DE06" w:rsidR="0021477E" w:rsidRPr="00D137B4" w:rsidRDefault="0021477E" w:rsidP="0021477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D137B4">
              <w:rPr>
                <w:rFonts w:asciiTheme="minorHAnsi" w:hAnsiTheme="minorHAnsi" w:cstheme="minorHAnsi"/>
                <w:bCs/>
              </w:rPr>
              <w:t>Z</w:t>
            </w:r>
            <w:r w:rsidR="00670918" w:rsidRPr="00D137B4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34A92E" w14:textId="02275316" w:rsidR="0021477E" w:rsidRDefault="0021477E" w:rsidP="002147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4B195D" w14:textId="08308A34" w:rsidR="0021477E" w:rsidRPr="00E97498" w:rsidRDefault="007433D2" w:rsidP="002D0866">
            <w:pPr>
              <w:jc w:val="center"/>
              <w:rPr>
                <w:rFonts w:asciiTheme="minorHAnsi" w:hAnsiTheme="minorHAnsi" w:cstheme="minorHAnsi"/>
              </w:rPr>
            </w:pPr>
            <w:r w:rsidRPr="00E97498">
              <w:rPr>
                <w:rFonts w:asciiTheme="minorHAnsi" w:hAnsiTheme="minorHAnsi" w:cstheme="minorHAnsi"/>
              </w:rPr>
              <w:t>Doc. dr.sc. Lovorka Bilajac</w:t>
            </w:r>
            <w:r>
              <w:rPr>
                <w:rFonts w:asciiTheme="minorHAnsi" w:hAnsiTheme="minorHAnsi" w:cstheme="minorHAnsi"/>
              </w:rPr>
              <w:t>, dipl.sanit.ing.</w:t>
            </w:r>
          </w:p>
        </w:tc>
      </w:tr>
      <w:tr w:rsidR="002D0866" w:rsidRPr="00CD3F31" w14:paraId="23B3B3B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18971" w14:textId="4DB7E0F8" w:rsidR="002D0866" w:rsidRPr="00E97498" w:rsidRDefault="00670918" w:rsidP="002D0866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30.11.2023.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A27310" w14:textId="77777777" w:rsidR="002D0866" w:rsidRPr="00E97498" w:rsidRDefault="002D0866" w:rsidP="002D086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342DA6" w14:textId="02C658FE" w:rsidR="002D0866" w:rsidRDefault="00670918" w:rsidP="002D0866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="001F0388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-S</w:t>
            </w:r>
            <w:r w:rsidR="001F0388">
              <w:rPr>
                <w:rFonts w:asciiTheme="minorHAnsi" w:hAnsiTheme="minorHAnsi" w:cstheme="minorHAnsi"/>
                <w:bCs/>
              </w:rPr>
              <w:t>6</w:t>
            </w:r>
          </w:p>
          <w:p w14:paraId="7C7E8B61" w14:textId="77777777" w:rsidR="00670918" w:rsidRDefault="00670918" w:rsidP="002D0866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13,00-16,00</w:t>
            </w:r>
          </w:p>
          <w:p w14:paraId="692523CC" w14:textId="6CC79947" w:rsidR="00670918" w:rsidRPr="00E97498" w:rsidRDefault="00670918" w:rsidP="002D0866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DB3408" w14:textId="223E66EF" w:rsidR="002D0866" w:rsidRPr="00E97498" w:rsidRDefault="002D0866" w:rsidP="002D08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67F878" w14:textId="12FF71CF" w:rsidR="002D0866" w:rsidRPr="00E97498" w:rsidRDefault="00C51CB5" w:rsidP="002D086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F0388">
              <w:rPr>
                <w:rFonts w:asciiTheme="minorHAnsi" w:hAnsiTheme="minorHAnsi" w:cstheme="minorHAnsi"/>
              </w:rPr>
              <w:t>Izv. prof. dr.sc. Aleksandar Racz, dr.med</w:t>
            </w:r>
          </w:p>
        </w:tc>
      </w:tr>
      <w:tr w:rsidR="00245B32" w:rsidRPr="00CD3F31" w14:paraId="7390712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033094" w14:textId="0DCB754B" w:rsidR="00245B32" w:rsidRDefault="00670918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6B6C37" w14:textId="77777777" w:rsidR="00245B32" w:rsidRPr="00CD3F31" w:rsidRDefault="00245B3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1022D1" w14:textId="227F14BE" w:rsidR="00245B32" w:rsidRDefault="0067091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</w:t>
            </w:r>
            <w:r w:rsidR="001F0388">
              <w:rPr>
                <w:rFonts w:asciiTheme="minorHAnsi" w:hAnsiTheme="minorHAnsi"/>
                <w:bCs/>
              </w:rPr>
              <w:t>7—</w:t>
            </w:r>
            <w:r>
              <w:rPr>
                <w:rFonts w:asciiTheme="minorHAnsi" w:hAnsiTheme="minorHAnsi"/>
                <w:bCs/>
              </w:rPr>
              <w:t>S</w:t>
            </w:r>
            <w:r w:rsidR="0085241D">
              <w:rPr>
                <w:rFonts w:asciiTheme="minorHAnsi" w:hAnsiTheme="minorHAnsi"/>
                <w:bCs/>
              </w:rPr>
              <w:t>1</w:t>
            </w:r>
            <w:r w:rsidR="0085241D">
              <w:rPr>
                <w:bCs/>
              </w:rPr>
              <w:t>0</w:t>
            </w:r>
          </w:p>
          <w:p w14:paraId="410CDD5E" w14:textId="1A3FE177" w:rsidR="002D0866" w:rsidRDefault="002D086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8,00-</w:t>
            </w:r>
            <w:r w:rsidR="00670918">
              <w:rPr>
                <w:rFonts w:asciiTheme="minorHAnsi" w:hAnsiTheme="minorHAnsi"/>
                <w:bCs/>
              </w:rPr>
              <w:t>1</w:t>
            </w:r>
            <w:r w:rsidR="0085241D">
              <w:rPr>
                <w:rFonts w:asciiTheme="minorHAnsi" w:hAnsiTheme="minorHAnsi"/>
                <w:bCs/>
              </w:rPr>
              <w:t>2</w:t>
            </w:r>
            <w:r w:rsidR="00670918">
              <w:rPr>
                <w:rFonts w:asciiTheme="minorHAnsi" w:hAnsiTheme="minorHAnsi"/>
                <w:bCs/>
              </w:rPr>
              <w:t>,00</w:t>
            </w:r>
          </w:p>
          <w:p w14:paraId="15235AA4" w14:textId="21126CA9" w:rsidR="002D0866" w:rsidRPr="00CD3F31" w:rsidRDefault="0067091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590532" w14:textId="77777777" w:rsidR="00245B32" w:rsidRPr="00CD3F31" w:rsidRDefault="00245B32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290ACE" w14:textId="7447304E" w:rsidR="00245B32" w:rsidRPr="00CD3F31" w:rsidRDefault="00EE7682" w:rsidP="00481703">
            <w:pPr>
              <w:jc w:val="center"/>
              <w:rPr>
                <w:bCs/>
              </w:rPr>
            </w:pPr>
            <w:r w:rsidRPr="00E97498">
              <w:rPr>
                <w:rFonts w:asciiTheme="minorHAnsi" w:hAnsiTheme="minorHAnsi" w:cstheme="minorHAnsi"/>
                <w:bCs/>
              </w:rPr>
              <w:t>Kristijan Zulle, mag. Physio.</w:t>
            </w:r>
          </w:p>
        </w:tc>
      </w:tr>
      <w:tr w:rsidR="00C51CB5" w:rsidRPr="00247361" w14:paraId="7892CD40" w14:textId="77777777" w:rsidTr="002C6390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C5102" w14:textId="3D451E12" w:rsidR="00C51CB5" w:rsidRPr="001F0388" w:rsidRDefault="00C51CB5" w:rsidP="002C6390">
            <w:pPr>
              <w:pStyle w:val="Caption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1F0388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2.12</w:t>
            </w:r>
            <w:r w:rsidRPr="001F0388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6C6ACE" w14:textId="77777777" w:rsidR="00C51CB5" w:rsidRPr="001F0388" w:rsidRDefault="00C51CB5" w:rsidP="002C6390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4A39B4" w14:textId="76E3271B" w:rsidR="00C51CB5" w:rsidRPr="001F0388" w:rsidRDefault="001F0388" w:rsidP="002C63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F0388">
              <w:rPr>
                <w:rFonts w:asciiTheme="minorHAnsi" w:hAnsiTheme="minorHAnsi" w:cstheme="minorHAnsi"/>
                <w:bCs/>
              </w:rPr>
              <w:t>S1</w:t>
            </w:r>
            <w:r w:rsidR="0085241D">
              <w:rPr>
                <w:rFonts w:asciiTheme="minorHAnsi" w:hAnsiTheme="minorHAnsi" w:cstheme="minorHAnsi"/>
                <w:bCs/>
              </w:rPr>
              <w:t>1</w:t>
            </w:r>
            <w:r w:rsidR="0085241D">
              <w:rPr>
                <w:rFonts w:cstheme="minorHAnsi"/>
                <w:bCs/>
              </w:rPr>
              <w:t>-</w:t>
            </w:r>
            <w:r w:rsidRPr="001F0388">
              <w:rPr>
                <w:rFonts w:asciiTheme="minorHAnsi" w:hAnsiTheme="minorHAnsi" w:cstheme="minorHAnsi"/>
                <w:bCs/>
              </w:rPr>
              <w:t>S15</w:t>
            </w:r>
          </w:p>
          <w:p w14:paraId="4C947233" w14:textId="22469BD5" w:rsidR="00C51CB5" w:rsidRPr="001F0388" w:rsidRDefault="00C51CB5" w:rsidP="002C63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F0388">
              <w:rPr>
                <w:rFonts w:asciiTheme="minorHAnsi" w:hAnsiTheme="minorHAnsi" w:cstheme="minorHAnsi"/>
                <w:bCs/>
              </w:rPr>
              <w:t>1</w:t>
            </w:r>
            <w:r w:rsidR="0085241D">
              <w:rPr>
                <w:rFonts w:asciiTheme="minorHAnsi" w:hAnsiTheme="minorHAnsi" w:cstheme="minorHAnsi"/>
                <w:bCs/>
              </w:rPr>
              <w:t>2</w:t>
            </w:r>
            <w:r w:rsidRPr="001F0388">
              <w:rPr>
                <w:rFonts w:asciiTheme="minorHAnsi" w:hAnsiTheme="minorHAnsi" w:cstheme="minorHAnsi"/>
                <w:bCs/>
              </w:rPr>
              <w:t>,00-16,00</w:t>
            </w:r>
          </w:p>
          <w:p w14:paraId="75EDF720" w14:textId="75E67776" w:rsidR="00C51CB5" w:rsidRPr="001F0388" w:rsidRDefault="00C51CB5" w:rsidP="002C63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F0388">
              <w:rPr>
                <w:rFonts w:asciiTheme="minorHAnsi" w:hAnsiTheme="minorHAnsi" w:cstheme="minorHAnsi"/>
                <w:bCs/>
              </w:rPr>
              <w:t>Z</w:t>
            </w:r>
            <w:r w:rsidR="001F0388" w:rsidRPr="001F0388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2E7658" w14:textId="77777777" w:rsidR="00C51CB5" w:rsidRPr="001F0388" w:rsidRDefault="00C51CB5" w:rsidP="002C63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7EE137" w14:textId="726D44FE" w:rsidR="00C51CB5" w:rsidRPr="00247361" w:rsidRDefault="00C51CB5" w:rsidP="002C639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51CB5">
              <w:rPr>
                <w:rFonts w:asciiTheme="minorHAnsi" w:hAnsiTheme="minorHAnsi" w:cstheme="minorHAnsi"/>
              </w:rPr>
              <w:t>Doc. dr.sc. Vanja Ivković, dr. med.</w:t>
            </w:r>
          </w:p>
        </w:tc>
      </w:tr>
    </w:tbl>
    <w:p w14:paraId="77EA009E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2F1C05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6A28ABC5" w:rsidR="002F1C05" w:rsidRPr="00CD3F31" w:rsidRDefault="002F1C05" w:rsidP="002F1C05">
            <w:pPr>
              <w:spacing w:after="0"/>
              <w:jc w:val="center"/>
            </w:pPr>
            <w:r w:rsidRPr="00FE3731">
              <w:t>P1-</w:t>
            </w:r>
            <w:r w:rsidR="00D137B4">
              <w:t>P</w:t>
            </w:r>
            <w:r w:rsidRPr="00FE3731"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6701EC9E" w:rsidR="002F1C05" w:rsidRPr="00DF6277" w:rsidRDefault="002F1C05" w:rsidP="00DF62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DF6277">
              <w:rPr>
                <w:rFonts w:asciiTheme="minorHAnsi" w:hAnsiTheme="minorHAnsi" w:cstheme="minorHAnsi"/>
                <w:sz w:val="22"/>
                <w:szCs w:val="22"/>
              </w:rPr>
              <w:t>Pregled zakonske regulative i Ustavne odredbe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5D6D3DE9" w:rsidR="002F1C05" w:rsidRPr="00DF6277" w:rsidRDefault="00DF6277" w:rsidP="002F1C0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3DD124E9" w:rsidR="002F1C05" w:rsidRPr="00CD3F31" w:rsidRDefault="00DF6277" w:rsidP="002F1C05">
            <w:pPr>
              <w:spacing w:after="0"/>
              <w:jc w:val="center"/>
            </w:pPr>
            <w:r w:rsidRPr="00DF6277">
              <w:rPr>
                <w:rFonts w:asciiTheme="minorHAnsi" w:hAnsiTheme="minorHAnsi" w:cstheme="minorHAnsi"/>
              </w:rPr>
              <w:t xml:space="preserve">Predavaonica </w:t>
            </w:r>
            <w:r w:rsidR="00A16F1E">
              <w:rPr>
                <w:rFonts w:asciiTheme="minorHAnsi" w:hAnsiTheme="minorHAnsi" w:cstheme="minorHAnsi"/>
              </w:rPr>
              <w:t>Z6</w:t>
            </w:r>
          </w:p>
        </w:tc>
      </w:tr>
      <w:tr w:rsidR="002F1C05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3466E33F" w:rsidR="002F1C05" w:rsidRPr="00CD3F31" w:rsidRDefault="002F1C05" w:rsidP="002F1C05">
            <w:pPr>
              <w:spacing w:after="0"/>
              <w:jc w:val="center"/>
            </w:pPr>
            <w:r w:rsidRPr="00FE3731">
              <w:t>P4-</w:t>
            </w:r>
            <w:r w:rsidR="00D137B4">
              <w:t>P</w:t>
            </w:r>
            <w:r w:rsidRPr="00FE3731"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1D44BBE8" w:rsidR="002F1C05" w:rsidRPr="00DF6277" w:rsidRDefault="002F1C05" w:rsidP="00DF62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DF6277">
              <w:rPr>
                <w:rFonts w:asciiTheme="minorHAnsi" w:hAnsiTheme="minorHAnsi" w:cstheme="minorHAnsi"/>
                <w:sz w:val="22"/>
                <w:szCs w:val="22"/>
              </w:rPr>
              <w:t>Zdravstveno zakonodavstvo (odrednice zdravlja i nejednakosti, očekivano trajanje života, vodeći uzroci morbiditeta i mortaliteta)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70E96541" w:rsidR="002F1C05" w:rsidRPr="00DF6277" w:rsidRDefault="002F1C05" w:rsidP="002F1C0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627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1A39735D" w:rsidR="002F1C05" w:rsidRPr="00CD3F31" w:rsidRDefault="002F1C05" w:rsidP="002F1C05">
            <w:pPr>
              <w:spacing w:after="0"/>
              <w:jc w:val="center"/>
            </w:pPr>
            <w:r w:rsidRPr="00FE3731">
              <w:t>Predavaonica Z</w:t>
            </w:r>
            <w:r w:rsidR="00DF6277">
              <w:t>7</w:t>
            </w:r>
          </w:p>
        </w:tc>
      </w:tr>
      <w:tr w:rsidR="002F1C05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63B674C6" w:rsidR="002F1C05" w:rsidRPr="00D137B4" w:rsidRDefault="002F1C05" w:rsidP="002F1C05">
            <w:pPr>
              <w:spacing w:after="0"/>
              <w:jc w:val="center"/>
            </w:pPr>
            <w:r w:rsidRPr="00D137B4">
              <w:t>P8-</w:t>
            </w:r>
            <w:r w:rsidR="0080657E" w:rsidRPr="00D137B4"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69AAC677" w:rsidR="002F1C05" w:rsidRPr="00D137B4" w:rsidRDefault="002F1C05" w:rsidP="00DF62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D137B4">
              <w:rPr>
                <w:rFonts w:asciiTheme="minorHAnsi" w:hAnsiTheme="minorHAnsi" w:cstheme="minorHAnsi"/>
                <w:sz w:val="22"/>
                <w:szCs w:val="22"/>
              </w:rPr>
              <w:t xml:space="preserve">Zakon o zdravstvenoj zaštiti, Zakon o zdravstvenom osiguranju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3BFC07AC" w:rsidR="002F1C05" w:rsidRPr="00DF6277" w:rsidRDefault="00D137B4" w:rsidP="002F1C0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613DC8FE" w:rsidR="002F1C05" w:rsidRPr="00CD3F31" w:rsidRDefault="002F1C05" w:rsidP="002F1C05">
            <w:pPr>
              <w:spacing w:after="0"/>
              <w:jc w:val="center"/>
            </w:pPr>
            <w:r w:rsidRPr="00FE3731">
              <w:t>Predavaonica Z</w:t>
            </w:r>
            <w:r w:rsidR="00A16F1E">
              <w:t>7</w:t>
            </w:r>
          </w:p>
        </w:tc>
      </w:tr>
      <w:tr w:rsidR="0080657E" w:rsidRPr="00CD3F31" w14:paraId="0C70D92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C1174" w14:textId="3E9B3444" w:rsidR="0080657E" w:rsidRPr="00D137B4" w:rsidRDefault="0080657E" w:rsidP="002F1C05">
            <w:pPr>
              <w:spacing w:after="0"/>
              <w:jc w:val="center"/>
            </w:pPr>
            <w:r w:rsidRPr="00D137B4">
              <w:t>P10 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65486" w14:textId="3179C134" w:rsidR="0080657E" w:rsidRPr="00D137B4" w:rsidRDefault="0080657E" w:rsidP="0080657E">
            <w:pPr>
              <w:pStyle w:val="Footer"/>
              <w:outlineLvl w:val="0"/>
            </w:pPr>
            <w:r w:rsidRPr="00D137B4">
              <w:t>Financiranje zdravstvene zaštite i financijski zdravstveni pokazatelji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57A29" w14:textId="4EBF1645" w:rsidR="0080657E" w:rsidRDefault="00D137B4" w:rsidP="002F1C0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C5CCC" w14:textId="60835CE4" w:rsidR="0080657E" w:rsidRPr="00FE3731" w:rsidRDefault="00247361" w:rsidP="002F1C05">
            <w:pPr>
              <w:spacing w:after="0"/>
              <w:jc w:val="center"/>
            </w:pPr>
            <w:r w:rsidRPr="00247361">
              <w:t>Predavaonica Z7</w:t>
            </w:r>
          </w:p>
        </w:tc>
      </w:tr>
      <w:tr w:rsidR="00247361" w:rsidRPr="00CD3F31" w14:paraId="6526B74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0B01C" w14:textId="3CC69C02" w:rsidR="00247361" w:rsidRPr="00D137B4" w:rsidRDefault="00247361" w:rsidP="00247361">
            <w:pPr>
              <w:spacing w:after="0"/>
              <w:jc w:val="center"/>
            </w:pPr>
            <w:r w:rsidRPr="00D137B4">
              <w:t>P12-P13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0F903" w14:textId="25197CEA" w:rsidR="00247361" w:rsidRPr="00D137B4" w:rsidRDefault="00247361" w:rsidP="00247361">
            <w:pPr>
              <w:pStyle w:val="Footer"/>
              <w:outlineLvl w:val="0"/>
            </w:pPr>
            <w:r w:rsidRPr="00D137B4">
              <w:t>Socijalno zakonodavstvo  Socijalna politika i djelatnost u RH Zakon o socijalnoj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DD5EF" w14:textId="13C6252B" w:rsidR="00247361" w:rsidRDefault="00247361" w:rsidP="0024736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516C0" w14:textId="0470A20C" w:rsidR="00247361" w:rsidRPr="00FE3731" w:rsidRDefault="00247361" w:rsidP="00247361">
            <w:pPr>
              <w:spacing w:after="0"/>
              <w:jc w:val="center"/>
            </w:pPr>
            <w:r w:rsidRPr="00791492">
              <w:t>Predavaonica Z</w:t>
            </w:r>
            <w:r>
              <w:t>5</w:t>
            </w:r>
          </w:p>
        </w:tc>
      </w:tr>
      <w:tr w:rsidR="00247361" w:rsidRPr="00CD3F31" w14:paraId="736E8E8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0B211" w14:textId="3C09C7F3" w:rsidR="00247361" w:rsidRPr="00D137B4" w:rsidRDefault="00247361" w:rsidP="00247361">
            <w:pPr>
              <w:spacing w:after="0"/>
              <w:jc w:val="center"/>
            </w:pPr>
            <w:r w:rsidRPr="00D137B4">
              <w:t>P14-  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DFAB5" w14:textId="5A2AB729" w:rsidR="00247361" w:rsidRPr="00D137B4" w:rsidRDefault="00247361" w:rsidP="00247361">
            <w:pPr>
              <w:pStyle w:val="Footer"/>
              <w:outlineLvl w:val="0"/>
            </w:pPr>
            <w:r w:rsidRPr="00D137B4">
              <w:t>Zakon o fizioterapeutskoj djelatnosti</w:t>
            </w:r>
          </w:p>
          <w:p w14:paraId="513C1CE7" w14:textId="1CF7D137" w:rsidR="00247361" w:rsidRPr="00D137B4" w:rsidRDefault="00247361" w:rsidP="00247361">
            <w:pPr>
              <w:pStyle w:val="Footer"/>
              <w:outlineLvl w:val="0"/>
            </w:pPr>
            <w:r w:rsidRPr="00D137B4">
              <w:t>Ishodi učenja: Objasniti fizioterapeutsku djelatnost kroz zakonski okvir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DA4E2" w14:textId="338C9CC4" w:rsidR="00247361" w:rsidRDefault="00247361" w:rsidP="0024736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B3936" w14:textId="1634F0DC" w:rsidR="00247361" w:rsidRPr="00FE3731" w:rsidRDefault="00247361" w:rsidP="00247361">
            <w:pPr>
              <w:spacing w:after="0"/>
              <w:jc w:val="center"/>
            </w:pPr>
            <w:r w:rsidRPr="00791492">
              <w:t>Predavaonica Z</w:t>
            </w:r>
            <w:r>
              <w:t>5</w:t>
            </w: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20A99D34" w:rsidR="000B06AE" w:rsidRPr="00CD3F31" w:rsidRDefault="00DF6277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71"/>
        <w:gridCol w:w="4584"/>
        <w:gridCol w:w="1666"/>
        <w:gridCol w:w="2085"/>
      </w:tblGrid>
      <w:tr w:rsidR="00A05341" w:rsidRPr="00CD3F31" w14:paraId="43D3F292" w14:textId="77777777" w:rsidTr="00DF6277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DF6277" w:rsidRPr="00CD3F31" w14:paraId="54B6DB14" w14:textId="77777777" w:rsidTr="00DF6277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2A124353" w:rsidR="00DF6277" w:rsidRPr="00DF6277" w:rsidRDefault="00DF6277" w:rsidP="00DF6277">
            <w:pPr>
              <w:spacing w:after="0"/>
              <w:rPr>
                <w:bCs/>
              </w:rPr>
            </w:pPr>
            <w:r w:rsidRPr="00DF6277">
              <w:rPr>
                <w:bCs/>
              </w:rPr>
              <w:t>S1-S</w:t>
            </w:r>
            <w:r w:rsidR="00A16F1E">
              <w:rPr>
                <w:bCs/>
              </w:rPr>
              <w:t>2</w:t>
            </w:r>
          </w:p>
        </w:tc>
        <w:tc>
          <w:tcPr>
            <w:tcW w:w="4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64C7CD2B" w:rsidR="00DF6277" w:rsidRPr="00DF6277" w:rsidRDefault="00DF6277" w:rsidP="00894FFE">
            <w:pPr>
              <w:spacing w:after="0" w:line="240" w:lineRule="auto"/>
              <w:rPr>
                <w:bCs/>
              </w:rPr>
            </w:pPr>
            <w:r w:rsidRPr="00DF6277">
              <w:rPr>
                <w:bCs/>
              </w:rPr>
              <w:t xml:space="preserve">Dostupnost zdravstvene zaštite različitih populacijskih skupina; Kvaliteta dobivene zdravstvene zaštite;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54E64FE4" w:rsidR="00DF6277" w:rsidRPr="00CD3F31" w:rsidRDefault="00A16F1E" w:rsidP="00DF627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52F05815" w:rsidR="00DF6277" w:rsidRPr="00CD3F31" w:rsidRDefault="00DF6277" w:rsidP="00DF6277">
            <w:pPr>
              <w:spacing w:after="0"/>
              <w:jc w:val="center"/>
              <w:rPr>
                <w:b/>
                <w:color w:val="333399"/>
              </w:rPr>
            </w:pPr>
            <w:r w:rsidRPr="00505FA3">
              <w:t>Predavaonica Z</w:t>
            </w:r>
            <w:r w:rsidR="00A16F1E">
              <w:t>5</w:t>
            </w:r>
          </w:p>
        </w:tc>
      </w:tr>
      <w:tr w:rsidR="00DF6277" w:rsidRPr="00CD3F31" w14:paraId="6DAE6B4A" w14:textId="77777777" w:rsidTr="00DF6277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6D4820E9" w:rsidR="00DF6277" w:rsidRPr="00DF6277" w:rsidRDefault="00DF6277" w:rsidP="00DF6277">
            <w:pPr>
              <w:spacing w:after="0"/>
              <w:rPr>
                <w:bCs/>
              </w:rPr>
            </w:pPr>
            <w:r w:rsidRPr="00DF6277">
              <w:rPr>
                <w:bCs/>
              </w:rPr>
              <w:t>S</w:t>
            </w:r>
            <w:r w:rsidR="001F0388">
              <w:rPr>
                <w:bCs/>
              </w:rPr>
              <w:t>3</w:t>
            </w:r>
            <w:r w:rsidR="00A16F1E">
              <w:rPr>
                <w:bCs/>
              </w:rPr>
              <w:t>-S</w:t>
            </w:r>
            <w:r w:rsidR="001F0388">
              <w:rPr>
                <w:bCs/>
              </w:rPr>
              <w:t>6</w:t>
            </w:r>
          </w:p>
        </w:tc>
        <w:tc>
          <w:tcPr>
            <w:tcW w:w="4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4D68EB" w:rsidR="00DF6277" w:rsidRPr="00DF6277" w:rsidRDefault="001F0388" w:rsidP="00DF6277">
            <w:pPr>
              <w:spacing w:after="0"/>
              <w:rPr>
                <w:bCs/>
              </w:rPr>
            </w:pPr>
            <w:r w:rsidRPr="001F0388">
              <w:rPr>
                <w:bCs/>
              </w:rPr>
              <w:t>Nejednakosti u zdravlju i zdravstvenoj zaštiti različitih populacijskih skupina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1731DBE4" w:rsidR="00DF6277" w:rsidRPr="00CD3F31" w:rsidRDefault="00A16F1E" w:rsidP="00DF6277">
            <w:pPr>
              <w:spacing w:after="0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4BC4EE8D" w:rsidR="00DF6277" w:rsidRPr="00CD3F31" w:rsidRDefault="00DF6277" w:rsidP="00DF6277">
            <w:pPr>
              <w:spacing w:after="0"/>
              <w:jc w:val="center"/>
              <w:rPr>
                <w:b/>
                <w:color w:val="333399"/>
              </w:rPr>
            </w:pPr>
            <w:r w:rsidRPr="00505FA3">
              <w:t>Predavaonica Z</w:t>
            </w:r>
            <w:r w:rsidR="00A16F1E">
              <w:t>4</w:t>
            </w:r>
          </w:p>
        </w:tc>
      </w:tr>
      <w:tr w:rsidR="00A16F1E" w:rsidRPr="00CD3F31" w14:paraId="1C523911" w14:textId="77777777" w:rsidTr="00C51CB5">
        <w:trPr>
          <w:trHeight w:val="1164"/>
        </w:trPr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9AA213" w14:textId="25EA5D80" w:rsidR="00A16F1E" w:rsidRPr="00DF6277" w:rsidRDefault="00A16F1E" w:rsidP="00DF6277">
            <w:pPr>
              <w:spacing w:after="0"/>
              <w:rPr>
                <w:bCs/>
              </w:rPr>
            </w:pPr>
            <w:r>
              <w:rPr>
                <w:bCs/>
              </w:rPr>
              <w:t>S</w:t>
            </w:r>
            <w:r w:rsidR="001F0388">
              <w:rPr>
                <w:bCs/>
              </w:rPr>
              <w:t>7</w:t>
            </w:r>
            <w:r>
              <w:rPr>
                <w:bCs/>
              </w:rPr>
              <w:t>-S</w:t>
            </w:r>
            <w:r w:rsidR="001F0388">
              <w:rPr>
                <w:bCs/>
              </w:rPr>
              <w:t>10</w:t>
            </w:r>
          </w:p>
        </w:tc>
        <w:tc>
          <w:tcPr>
            <w:tcW w:w="4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B488600" w14:textId="18227C30" w:rsidR="00A16F1E" w:rsidRPr="00DF6277" w:rsidRDefault="00A16F1E" w:rsidP="00A16F1E">
            <w:pPr>
              <w:spacing w:after="0" w:line="240" w:lineRule="auto"/>
              <w:rPr>
                <w:bCs/>
              </w:rPr>
            </w:pPr>
            <w:r w:rsidRPr="00DF6277">
              <w:rPr>
                <w:bCs/>
              </w:rPr>
              <w:t>Položaj i uloga fizioterapeuta u zdravstvenom sustavu- usporedba regulative RH i EU, Dostupnost fizikalne terapije- pravo ili privilegija?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497256" w14:textId="06C23C5A" w:rsidR="00A16F1E" w:rsidRDefault="001F0388" w:rsidP="00DF6277">
            <w:pPr>
              <w:spacing w:after="0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B419E5" w14:textId="5D006A3E" w:rsidR="00A16F1E" w:rsidRPr="00505FA3" w:rsidRDefault="00A16F1E" w:rsidP="00DF6277">
            <w:pPr>
              <w:spacing w:after="0"/>
              <w:jc w:val="center"/>
            </w:pPr>
            <w:r w:rsidRPr="00505FA3">
              <w:t>Predavaonica Z</w:t>
            </w:r>
            <w:r>
              <w:t>5</w:t>
            </w:r>
          </w:p>
        </w:tc>
      </w:tr>
      <w:tr w:rsidR="00C51CB5" w:rsidRPr="00CD3F31" w14:paraId="322267C3" w14:textId="77777777" w:rsidTr="00DF6277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561BAB" w14:textId="4AFAA2DE" w:rsidR="00C51CB5" w:rsidRDefault="00C51CB5" w:rsidP="00C51CB5">
            <w:pPr>
              <w:spacing w:after="0"/>
              <w:rPr>
                <w:bCs/>
              </w:rPr>
            </w:pPr>
            <w:r>
              <w:rPr>
                <w:bCs/>
              </w:rPr>
              <w:t>S</w:t>
            </w:r>
            <w:r w:rsidR="001F0388">
              <w:rPr>
                <w:bCs/>
              </w:rPr>
              <w:t>11</w:t>
            </w:r>
            <w:r>
              <w:rPr>
                <w:bCs/>
              </w:rPr>
              <w:t>-S</w:t>
            </w:r>
            <w:r w:rsidR="001F0388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</w:p>
        </w:tc>
        <w:tc>
          <w:tcPr>
            <w:tcW w:w="4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5703CE6" w14:textId="6FBF01E5" w:rsidR="00C51CB5" w:rsidRPr="00DF6277" w:rsidRDefault="00C51CB5" w:rsidP="00C51CB5">
            <w:pPr>
              <w:spacing w:after="0" w:line="240" w:lineRule="auto"/>
              <w:rPr>
                <w:bCs/>
              </w:rPr>
            </w:pPr>
            <w:r w:rsidRPr="00C51CB5">
              <w:rPr>
                <w:bCs/>
              </w:rPr>
              <w:t>Optimizacija mreža zdravstvene skrbi;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DDD0BDD" w14:textId="524FB574" w:rsidR="00C51CB5" w:rsidRDefault="001F0388" w:rsidP="00C51CB5">
            <w:pPr>
              <w:spacing w:after="0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1CDBA1" w14:textId="77777777" w:rsidR="00C51CB5" w:rsidRPr="00505FA3" w:rsidRDefault="00C51CB5" w:rsidP="00C51CB5">
            <w:pPr>
              <w:spacing w:after="0"/>
              <w:jc w:val="center"/>
            </w:pPr>
          </w:p>
        </w:tc>
      </w:tr>
      <w:tr w:rsidR="00C51CB5" w:rsidRPr="00CD3F31" w14:paraId="7093E22F" w14:textId="77777777" w:rsidTr="00DF6277"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C51CB5" w:rsidRPr="00CD3F31" w:rsidRDefault="00C51CB5" w:rsidP="00C51CB5">
            <w:pPr>
              <w:spacing w:after="0"/>
            </w:pPr>
          </w:p>
        </w:tc>
        <w:tc>
          <w:tcPr>
            <w:tcW w:w="4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C51CB5" w:rsidRPr="00CD3F31" w:rsidRDefault="00C51CB5" w:rsidP="00C51CB5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561F939F" w:rsidR="00C51CB5" w:rsidRPr="00CD3F31" w:rsidRDefault="00C51CB5" w:rsidP="00C51CB5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C51CB5" w:rsidRPr="00CD3F31" w:rsidRDefault="00C51CB5" w:rsidP="00C51CB5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DF6277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258290C3" w:rsidR="00DF6277" w:rsidRPr="00E43EC9" w:rsidRDefault="00E43EC9" w:rsidP="00DF6277">
            <w:pPr>
              <w:spacing w:after="0"/>
              <w:jc w:val="center"/>
              <w:rPr>
                <w:bCs/>
              </w:rPr>
            </w:pPr>
            <w:r w:rsidRPr="00E43EC9">
              <w:rPr>
                <w:bCs/>
              </w:rPr>
              <w:t>V1-</w:t>
            </w:r>
            <w:r w:rsidR="00A16F1E">
              <w:rPr>
                <w:bCs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89F84BC" w:rsidR="00DF6277" w:rsidRPr="00E43EC9" w:rsidRDefault="00E43EC9" w:rsidP="00D137B4">
            <w:pPr>
              <w:spacing w:after="0" w:line="240" w:lineRule="auto"/>
              <w:rPr>
                <w:bCs/>
              </w:rPr>
            </w:pPr>
            <w:r w:rsidRPr="00E43EC9">
              <w:rPr>
                <w:bCs/>
              </w:rPr>
              <w:t>Procjena zdravstvenog stanja stanovništva i dostupnosti zdravstvene zaštite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44EC087D" w:rsidR="00DF6277" w:rsidRPr="00CD3F31" w:rsidRDefault="00A16F1E" w:rsidP="00DF6277">
            <w:pPr>
              <w:spacing w:after="0"/>
              <w:jc w:val="center"/>
            </w:pPr>
            <w: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268E7E63" w:rsidR="00DF6277" w:rsidRPr="00CD3F31" w:rsidRDefault="00DF6277" w:rsidP="00DF6277">
            <w:pPr>
              <w:spacing w:after="0"/>
              <w:jc w:val="center"/>
              <w:rPr>
                <w:b/>
                <w:color w:val="333399"/>
              </w:rPr>
            </w:pPr>
            <w:r w:rsidRPr="00ED5035">
              <w:t>Predavaonica Z</w:t>
            </w:r>
            <w:r w:rsidR="00A16F1E">
              <w:t>7</w:t>
            </w:r>
          </w:p>
        </w:tc>
      </w:tr>
      <w:tr w:rsidR="00A16F1E" w:rsidRPr="00CD3F31" w14:paraId="42FF699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DFEFC" w14:textId="1A0D8DE8" w:rsidR="00A16F1E" w:rsidRPr="00E43EC9" w:rsidRDefault="00A16F1E" w:rsidP="00A16F1E">
            <w:pPr>
              <w:spacing w:after="0"/>
              <w:jc w:val="center"/>
              <w:rPr>
                <w:bCs/>
              </w:rPr>
            </w:pPr>
            <w:r w:rsidRPr="00840506">
              <w:rPr>
                <w:bCs/>
              </w:rPr>
              <w:t>V</w:t>
            </w:r>
            <w:r>
              <w:rPr>
                <w:bCs/>
              </w:rPr>
              <w:t>5</w:t>
            </w:r>
            <w:r w:rsidRPr="00840506">
              <w:rPr>
                <w:bCs/>
              </w:rPr>
              <w:t>-V</w:t>
            </w:r>
            <w:r>
              <w:rPr>
                <w:bCs/>
              </w:rPr>
              <w:t>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BED6E" w14:textId="26C6D345" w:rsidR="00A16F1E" w:rsidRPr="00E43EC9" w:rsidRDefault="00D137B4" w:rsidP="00D137B4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Pregled dostupnih baza podataka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04D61" w14:textId="2E0E8485" w:rsidR="00A16F1E" w:rsidRDefault="00A16F1E" w:rsidP="00A16F1E">
            <w:pPr>
              <w:spacing w:after="0"/>
              <w:jc w:val="center"/>
            </w:pPr>
            <w: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579D4" w14:textId="43936E9C" w:rsidR="00A16F1E" w:rsidRPr="00ED5035" w:rsidRDefault="00A16F1E" w:rsidP="00A16F1E">
            <w:pPr>
              <w:spacing w:after="0"/>
              <w:jc w:val="center"/>
            </w:pPr>
            <w:r w:rsidRPr="00675437">
              <w:t>Predavaonica Z</w:t>
            </w:r>
            <w:r>
              <w:t>7</w:t>
            </w:r>
          </w:p>
        </w:tc>
      </w:tr>
      <w:tr w:rsidR="00A16F1E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1A77367D" w:rsidR="00A16F1E" w:rsidRPr="00CD3F31" w:rsidRDefault="00A16F1E" w:rsidP="00A16F1E">
            <w:pPr>
              <w:spacing w:after="0"/>
              <w:jc w:val="center"/>
            </w:pPr>
            <w:r w:rsidRPr="00840506">
              <w:rPr>
                <w:bCs/>
              </w:rPr>
              <w:t>V</w:t>
            </w:r>
            <w:r>
              <w:rPr>
                <w:bCs/>
              </w:rPr>
              <w:t>9</w:t>
            </w:r>
            <w:r w:rsidRPr="00840506">
              <w:rPr>
                <w:bCs/>
              </w:rPr>
              <w:t>-V</w:t>
            </w:r>
            <w:r>
              <w:rPr>
                <w:bCs/>
              </w:rPr>
              <w:t>12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41918BE8" w:rsidR="00A16F1E" w:rsidRPr="00D137B4" w:rsidRDefault="00D137B4" w:rsidP="00D137B4">
            <w:pPr>
              <w:spacing w:after="0"/>
              <w:rPr>
                <w:bCs/>
                <w:color w:val="333399"/>
              </w:rPr>
            </w:pPr>
            <w:r w:rsidRPr="00D137B4">
              <w:rPr>
                <w:bCs/>
              </w:rPr>
              <w:t>Interpretacija dobivenih rezultata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DFEA560" w:rsidR="00A16F1E" w:rsidRPr="00CD3F31" w:rsidRDefault="00A16F1E" w:rsidP="00A16F1E">
            <w:pPr>
              <w:spacing w:after="0"/>
              <w:jc w:val="center"/>
            </w:pPr>
            <w: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0A073DED" w:rsidR="00A16F1E" w:rsidRPr="00CD3F31" w:rsidRDefault="00A16F1E" w:rsidP="00A16F1E">
            <w:pPr>
              <w:spacing w:after="0"/>
              <w:jc w:val="center"/>
              <w:rPr>
                <w:b/>
                <w:color w:val="333399"/>
              </w:rPr>
            </w:pPr>
            <w:r w:rsidRPr="00675437">
              <w:t>Predavaonica Z</w:t>
            </w:r>
            <w:r>
              <w:t>7</w:t>
            </w:r>
          </w:p>
        </w:tc>
      </w:tr>
      <w:tr w:rsidR="00A16F1E" w:rsidRPr="00CD3F31" w14:paraId="10123D4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6B2E3" w14:textId="46262B8E" w:rsidR="00A16F1E" w:rsidRPr="00CD3F31" w:rsidRDefault="00A16F1E" w:rsidP="00A16F1E">
            <w:pPr>
              <w:spacing w:after="0"/>
              <w:jc w:val="center"/>
            </w:pPr>
            <w:r w:rsidRPr="00840506">
              <w:rPr>
                <w:bCs/>
              </w:rPr>
              <w:t>V1</w:t>
            </w:r>
            <w:r>
              <w:rPr>
                <w:bCs/>
              </w:rPr>
              <w:t>3</w:t>
            </w:r>
            <w:r w:rsidRPr="00840506">
              <w:rPr>
                <w:bCs/>
              </w:rPr>
              <w:t>-V</w:t>
            </w:r>
            <w:r>
              <w:rPr>
                <w:bCs/>
              </w:rPr>
              <w:t>15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967EF" w14:textId="2B4CCD39" w:rsidR="00A16F1E" w:rsidRPr="00D137B4" w:rsidRDefault="00D137B4" w:rsidP="00D137B4">
            <w:pPr>
              <w:spacing w:after="0"/>
              <w:rPr>
                <w:bCs/>
              </w:rPr>
            </w:pPr>
            <w:r w:rsidRPr="00D137B4">
              <w:rPr>
                <w:bCs/>
              </w:rPr>
              <w:t>Usporedba sa zakonskom legislativom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521E1" w14:textId="26C55CC1" w:rsidR="00A16F1E" w:rsidRDefault="00A16F1E" w:rsidP="00A16F1E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1777F" w14:textId="52DF6C1D" w:rsidR="00A16F1E" w:rsidRPr="00CD3F31" w:rsidRDefault="00A16F1E" w:rsidP="00A16F1E">
            <w:pPr>
              <w:spacing w:after="0"/>
              <w:jc w:val="center"/>
              <w:rPr>
                <w:b/>
                <w:color w:val="333399"/>
              </w:rPr>
            </w:pPr>
            <w:r w:rsidRPr="00675437">
              <w:t>Predavaonica Z</w:t>
            </w:r>
            <w:r>
              <w:t>5</w:t>
            </w: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05EBD8CF" w:rsidR="000B06AE" w:rsidRPr="00CD3F31" w:rsidRDefault="00E43EC9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4A2D5809" w14:textId="0808E6A4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542CEDAE" w:rsidR="005C2F41" w:rsidRPr="00CD3F31" w:rsidRDefault="00990666" w:rsidP="0001711D">
            <w:pPr>
              <w:spacing w:after="0"/>
            </w:pPr>
            <w:r>
              <w:t>15.12.2023.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254FF0A6" w:rsidR="005C2F41" w:rsidRPr="00CD3F31" w:rsidRDefault="00990666" w:rsidP="00BF53C9">
            <w:pPr>
              <w:spacing w:after="0"/>
            </w:pPr>
            <w:r>
              <w:t>13.1.2024.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259F2A6C" w:rsidR="005C2F41" w:rsidRPr="00CD3F31" w:rsidRDefault="00990666" w:rsidP="00BF53C9">
            <w:pPr>
              <w:spacing w:after="0"/>
            </w:pPr>
            <w:r>
              <w:t>16.2.2024.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6A49480F" w:rsidR="005C2F41" w:rsidRPr="00CD3F31" w:rsidRDefault="00990666" w:rsidP="00BF53C9">
            <w:pPr>
              <w:spacing w:after="0"/>
            </w:pPr>
            <w:r>
              <w:t>21.3.2024.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848E" w14:textId="77777777" w:rsidR="00210DBD" w:rsidRDefault="00210DBD">
      <w:pPr>
        <w:spacing w:after="0" w:line="240" w:lineRule="auto"/>
      </w:pPr>
      <w:r>
        <w:separator/>
      </w:r>
    </w:p>
  </w:endnote>
  <w:endnote w:type="continuationSeparator" w:id="0">
    <w:p w14:paraId="4E8BEB72" w14:textId="77777777" w:rsidR="00210DBD" w:rsidRDefault="0021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899F" w14:textId="77777777" w:rsidR="00210DBD" w:rsidRDefault="00210DBD">
      <w:pPr>
        <w:spacing w:after="0" w:line="240" w:lineRule="auto"/>
      </w:pPr>
      <w:r>
        <w:separator/>
      </w:r>
    </w:p>
  </w:footnote>
  <w:footnote w:type="continuationSeparator" w:id="0">
    <w:p w14:paraId="5C8DD234" w14:textId="77777777" w:rsidR="00210DBD" w:rsidRDefault="0021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Header"/>
    </w:pPr>
  </w:p>
  <w:p w14:paraId="04B809DA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7AE"/>
    <w:multiLevelType w:val="multilevel"/>
    <w:tmpl w:val="AE0475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752110"/>
    <w:multiLevelType w:val="hybridMultilevel"/>
    <w:tmpl w:val="27DC812C"/>
    <w:lvl w:ilvl="0" w:tplc="692677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288720">
    <w:abstractNumId w:val="1"/>
  </w:num>
  <w:num w:numId="2" w16cid:durableId="187487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D1B15"/>
    <w:rsid w:val="000F01B5"/>
    <w:rsid w:val="000F1A10"/>
    <w:rsid w:val="000F3023"/>
    <w:rsid w:val="00111C9A"/>
    <w:rsid w:val="00144761"/>
    <w:rsid w:val="00184FD3"/>
    <w:rsid w:val="00196FF0"/>
    <w:rsid w:val="001A3CD4"/>
    <w:rsid w:val="001F0388"/>
    <w:rsid w:val="00210DBD"/>
    <w:rsid w:val="0021477E"/>
    <w:rsid w:val="00230D7A"/>
    <w:rsid w:val="00245B32"/>
    <w:rsid w:val="00247361"/>
    <w:rsid w:val="002A0B16"/>
    <w:rsid w:val="002B41D6"/>
    <w:rsid w:val="002D0866"/>
    <w:rsid w:val="002F1C05"/>
    <w:rsid w:val="002F30E3"/>
    <w:rsid w:val="00313E94"/>
    <w:rsid w:val="003314C1"/>
    <w:rsid w:val="0039207A"/>
    <w:rsid w:val="003C0F36"/>
    <w:rsid w:val="003E1154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4451A"/>
    <w:rsid w:val="00670918"/>
    <w:rsid w:val="0068741A"/>
    <w:rsid w:val="00690F74"/>
    <w:rsid w:val="006F39EE"/>
    <w:rsid w:val="00730C8D"/>
    <w:rsid w:val="00733743"/>
    <w:rsid w:val="007433D2"/>
    <w:rsid w:val="00761543"/>
    <w:rsid w:val="00773AA1"/>
    <w:rsid w:val="00782EA4"/>
    <w:rsid w:val="007851A3"/>
    <w:rsid w:val="00792B8F"/>
    <w:rsid w:val="00794A02"/>
    <w:rsid w:val="007D1510"/>
    <w:rsid w:val="007D2EB9"/>
    <w:rsid w:val="007F4483"/>
    <w:rsid w:val="00805B45"/>
    <w:rsid w:val="0080657E"/>
    <w:rsid w:val="00806E45"/>
    <w:rsid w:val="00822390"/>
    <w:rsid w:val="00846C2B"/>
    <w:rsid w:val="00851566"/>
    <w:rsid w:val="0085241D"/>
    <w:rsid w:val="008612B3"/>
    <w:rsid w:val="00894052"/>
    <w:rsid w:val="00894FFE"/>
    <w:rsid w:val="008A3B06"/>
    <w:rsid w:val="008D4528"/>
    <w:rsid w:val="008E7846"/>
    <w:rsid w:val="008F76DD"/>
    <w:rsid w:val="0091264E"/>
    <w:rsid w:val="0091431F"/>
    <w:rsid w:val="00930D4B"/>
    <w:rsid w:val="00965280"/>
    <w:rsid w:val="00973FFD"/>
    <w:rsid w:val="00983892"/>
    <w:rsid w:val="00984697"/>
    <w:rsid w:val="00990666"/>
    <w:rsid w:val="009B1468"/>
    <w:rsid w:val="00A05341"/>
    <w:rsid w:val="00A12305"/>
    <w:rsid w:val="00A16F1E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92B85"/>
    <w:rsid w:val="00BB7BAC"/>
    <w:rsid w:val="00BD6B4F"/>
    <w:rsid w:val="00BF53C9"/>
    <w:rsid w:val="00C24941"/>
    <w:rsid w:val="00C30FA3"/>
    <w:rsid w:val="00C446B5"/>
    <w:rsid w:val="00C51CB5"/>
    <w:rsid w:val="00C753E6"/>
    <w:rsid w:val="00C92590"/>
    <w:rsid w:val="00CB4F63"/>
    <w:rsid w:val="00CC56AC"/>
    <w:rsid w:val="00CD3E68"/>
    <w:rsid w:val="00CD3EFF"/>
    <w:rsid w:val="00CD3F31"/>
    <w:rsid w:val="00CF2F27"/>
    <w:rsid w:val="00D137B4"/>
    <w:rsid w:val="00D451F5"/>
    <w:rsid w:val="00D70B0A"/>
    <w:rsid w:val="00D7612B"/>
    <w:rsid w:val="00D86165"/>
    <w:rsid w:val="00DD1489"/>
    <w:rsid w:val="00DF6277"/>
    <w:rsid w:val="00E221EC"/>
    <w:rsid w:val="00E40068"/>
    <w:rsid w:val="00E43EC9"/>
    <w:rsid w:val="00E92F6C"/>
    <w:rsid w:val="00E97498"/>
    <w:rsid w:val="00EB0DB0"/>
    <w:rsid w:val="00EB67E1"/>
    <w:rsid w:val="00EC2D37"/>
    <w:rsid w:val="00EE10B3"/>
    <w:rsid w:val="00EE7682"/>
    <w:rsid w:val="00F47429"/>
    <w:rsid w:val="00F47E9F"/>
    <w:rsid w:val="00FC4C9D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163C53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213A290F2D84000898DB34B8C25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D892-E075-48F7-A3B2-81D20C3789BB}"/>
      </w:docPartPr>
      <w:docPartBody>
        <w:p w:rsidR="007D252E" w:rsidRDefault="00163C53" w:rsidP="00163C53">
          <w:pPr>
            <w:pStyle w:val="B213A290F2D84000898DB34B8C2568E3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F0AD41A634D14035AFA885D1F98D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7CE4-B677-4314-A3D7-7E117E9347F5}"/>
      </w:docPartPr>
      <w:docPartBody>
        <w:p w:rsidR="007D252E" w:rsidRDefault="00163C53" w:rsidP="00163C53">
          <w:pPr>
            <w:pStyle w:val="F0AD41A634D14035AFA885D1F98D392E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125B5DE91FB44AC97E77A4F0FC4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7755-8F51-45DB-9221-CBCD0586A7FB}"/>
      </w:docPartPr>
      <w:docPartBody>
        <w:p w:rsidR="007D252E" w:rsidRDefault="00163C53" w:rsidP="00163C53">
          <w:pPr>
            <w:pStyle w:val="3125B5DE91FB44AC97E77A4F0FC4625C"/>
          </w:pPr>
          <w:r w:rsidRPr="00806E45">
            <w:rPr>
              <w:rStyle w:val="PlaceholderText"/>
              <w:rFonts w:eastAsiaTheme="majorEastAsia"/>
            </w:rPr>
            <w:t>Unesite tražene podatke</w:t>
          </w:r>
        </w:p>
      </w:docPartBody>
    </w:docPart>
    <w:docPart>
      <w:docPartPr>
        <w:name w:val="9F0E9107A2EA4C67B53B87C9741E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408AD-7E48-4168-A1AE-C2E62E707FD0}"/>
      </w:docPartPr>
      <w:docPartBody>
        <w:p w:rsidR="007D252E" w:rsidRDefault="00163C53" w:rsidP="00163C53">
          <w:pPr>
            <w:pStyle w:val="9F0E9107A2EA4C67B53B87C9741E2AF1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63C53"/>
    <w:rsid w:val="001B1A93"/>
    <w:rsid w:val="00243FD9"/>
    <w:rsid w:val="002B2EB8"/>
    <w:rsid w:val="00311D82"/>
    <w:rsid w:val="003B4DC5"/>
    <w:rsid w:val="003B7DF7"/>
    <w:rsid w:val="00551851"/>
    <w:rsid w:val="005B02F3"/>
    <w:rsid w:val="005B55E5"/>
    <w:rsid w:val="005F5698"/>
    <w:rsid w:val="00631081"/>
    <w:rsid w:val="00731BD7"/>
    <w:rsid w:val="007D252E"/>
    <w:rsid w:val="00807016"/>
    <w:rsid w:val="00820630"/>
    <w:rsid w:val="008271D5"/>
    <w:rsid w:val="00842297"/>
    <w:rsid w:val="00867A7E"/>
    <w:rsid w:val="008B3B87"/>
    <w:rsid w:val="008C44BE"/>
    <w:rsid w:val="008E4F30"/>
    <w:rsid w:val="009004FD"/>
    <w:rsid w:val="00903BA7"/>
    <w:rsid w:val="0093614F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334FB"/>
    <w:rsid w:val="00D52565"/>
    <w:rsid w:val="00DA11E4"/>
    <w:rsid w:val="00DE3C16"/>
    <w:rsid w:val="00E40892"/>
    <w:rsid w:val="00E55FA5"/>
    <w:rsid w:val="00EA2C9C"/>
    <w:rsid w:val="00EC08A5"/>
    <w:rsid w:val="00F14CC3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C53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213A290F2D84000898DB34B8C2568E3">
    <w:name w:val="B213A290F2D84000898DB34B8C2568E3"/>
    <w:rsid w:val="00163C53"/>
    <w:pPr>
      <w:spacing w:after="160" w:line="259" w:lineRule="auto"/>
    </w:pPr>
  </w:style>
  <w:style w:type="paragraph" w:customStyle="1" w:styleId="F0AD41A634D14035AFA885D1F98D392E">
    <w:name w:val="F0AD41A634D14035AFA885D1F98D392E"/>
    <w:rsid w:val="00163C53"/>
    <w:pPr>
      <w:spacing w:after="160" w:line="259" w:lineRule="auto"/>
    </w:pPr>
  </w:style>
  <w:style w:type="paragraph" w:customStyle="1" w:styleId="3125B5DE91FB44AC97E77A4F0FC4625C">
    <w:name w:val="3125B5DE91FB44AC97E77A4F0FC4625C"/>
    <w:rsid w:val="00163C53"/>
    <w:pPr>
      <w:spacing w:after="160" w:line="259" w:lineRule="auto"/>
    </w:pPr>
  </w:style>
  <w:style w:type="paragraph" w:customStyle="1" w:styleId="9F0E9107A2EA4C67B53B87C9741E2AF1">
    <w:name w:val="9F0E9107A2EA4C67B53B87C9741E2AF1"/>
    <w:rsid w:val="00163C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Lovorka Bilajac</cp:lastModifiedBy>
  <cp:revision>4</cp:revision>
  <cp:lastPrinted>2023-08-09T07:46:00Z</cp:lastPrinted>
  <dcterms:created xsi:type="dcterms:W3CDTF">2023-08-09T07:56:00Z</dcterms:created>
  <dcterms:modified xsi:type="dcterms:W3CDTF">2023-08-28T08:52:00Z</dcterms:modified>
</cp:coreProperties>
</file>