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3314" w14:textId="7EAF1D21" w:rsidR="000631E4" w:rsidRPr="00C07563" w:rsidRDefault="000631E4" w:rsidP="000631E4">
      <w:pPr>
        <w:tabs>
          <w:tab w:val="left" w:pos="7655"/>
        </w:tabs>
        <w:jc w:val="both"/>
        <w:rPr>
          <w:rFonts w:ascii="Calibri" w:hAnsi="Calibri" w:cs="Tahoma"/>
          <w:color w:val="FF0000"/>
          <w:sz w:val="20"/>
          <w:szCs w:val="20"/>
          <w:lang w:val="hr-HR"/>
        </w:rPr>
      </w:pPr>
      <w:r w:rsidRPr="00C246C8">
        <w:rPr>
          <w:rFonts w:ascii="Calibri" w:hAnsi="Calibri" w:cs="Tahoma"/>
          <w:sz w:val="20"/>
          <w:szCs w:val="20"/>
          <w:lang w:val="hr-HR"/>
        </w:rPr>
        <w:t>KLASA: 990-01/23-</w:t>
      </w:r>
      <w:r w:rsidRPr="009D3FF3">
        <w:rPr>
          <w:rFonts w:ascii="Calibri" w:hAnsi="Calibri" w:cs="Tahoma"/>
          <w:sz w:val="20"/>
          <w:szCs w:val="20"/>
          <w:lang w:val="hr-HR"/>
        </w:rPr>
        <w:t>04/</w:t>
      </w:r>
      <w:r w:rsidR="009D3FF3" w:rsidRPr="009D3FF3">
        <w:rPr>
          <w:rFonts w:ascii="Calibri" w:hAnsi="Calibri" w:cs="Tahoma"/>
          <w:sz w:val="20"/>
          <w:szCs w:val="20"/>
          <w:lang w:val="hr-HR"/>
        </w:rPr>
        <w:t>24</w:t>
      </w:r>
    </w:p>
    <w:p w14:paraId="7080359E" w14:textId="77777777" w:rsidR="000631E4" w:rsidRPr="000631E4" w:rsidRDefault="000631E4" w:rsidP="000631E4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0631E4">
        <w:rPr>
          <w:rFonts w:ascii="Calibri" w:hAnsi="Calibri" w:cs="Tahoma"/>
          <w:sz w:val="20"/>
          <w:szCs w:val="20"/>
          <w:lang w:val="hr-HR"/>
        </w:rPr>
        <w:t>URBROJ: 2170-137-04-23-1</w:t>
      </w:r>
    </w:p>
    <w:p w14:paraId="1CF746DB" w14:textId="77777777" w:rsidR="00DE593D" w:rsidRPr="00343D31" w:rsidRDefault="00DE593D" w:rsidP="00DE593D">
      <w:pPr>
        <w:rPr>
          <w:rFonts w:ascii="Calibri" w:hAnsi="Calibri" w:cs="Tahoma"/>
          <w:sz w:val="20"/>
          <w:szCs w:val="20"/>
          <w:lang w:val="hr-HR"/>
        </w:rPr>
      </w:pPr>
    </w:p>
    <w:p w14:paraId="5565FB93" w14:textId="77777777" w:rsidR="00DE593D" w:rsidRPr="00343D31" w:rsidRDefault="00DE593D" w:rsidP="00DE593D">
      <w:pPr>
        <w:jc w:val="center"/>
        <w:rPr>
          <w:rFonts w:ascii="Calibri" w:hAnsi="Calibri" w:cs="Tahoma"/>
          <w:b/>
          <w:sz w:val="20"/>
          <w:szCs w:val="20"/>
          <w:lang w:val="hr-HR"/>
        </w:rPr>
      </w:pPr>
      <w:r w:rsidRPr="00343D31">
        <w:rPr>
          <w:rFonts w:ascii="Calibri" w:hAnsi="Calibri" w:cs="Tahoma"/>
          <w:b/>
          <w:sz w:val="20"/>
          <w:szCs w:val="20"/>
          <w:lang w:val="hr-HR"/>
        </w:rPr>
        <w:t>Sveučilište u Rijeci</w:t>
      </w:r>
    </w:p>
    <w:p w14:paraId="44712333" w14:textId="67D6DE75" w:rsidR="00DE593D" w:rsidRPr="002C7ECA" w:rsidRDefault="00DE593D" w:rsidP="00205A46">
      <w:pPr>
        <w:shd w:val="clear" w:color="auto" w:fill="FFFFFF" w:themeFill="background1"/>
        <w:jc w:val="center"/>
        <w:rPr>
          <w:rFonts w:ascii="Calibri" w:hAnsi="Calibri" w:cs="Tahoma"/>
          <w:sz w:val="20"/>
          <w:szCs w:val="20"/>
          <w:lang w:val="hr-HR"/>
        </w:rPr>
      </w:pPr>
      <w:r w:rsidRPr="002C7ECA">
        <w:rPr>
          <w:rFonts w:ascii="Calibri" w:hAnsi="Calibri" w:cs="Tahoma"/>
          <w:sz w:val="20"/>
          <w:szCs w:val="20"/>
          <w:lang w:val="hr-HR"/>
        </w:rPr>
        <w:t xml:space="preserve">dana </w:t>
      </w:r>
      <w:r w:rsidR="00161530" w:rsidRPr="002C7ECA">
        <w:rPr>
          <w:rFonts w:ascii="Calibri" w:hAnsi="Calibri" w:cs="Tahoma"/>
          <w:sz w:val="20"/>
          <w:szCs w:val="20"/>
          <w:lang w:val="hr-HR"/>
        </w:rPr>
        <w:t>25. travnja</w:t>
      </w:r>
      <w:r w:rsidRPr="002C7ECA">
        <w:rPr>
          <w:rFonts w:ascii="Calibri" w:hAnsi="Calibri" w:cs="Tahoma"/>
          <w:sz w:val="20"/>
          <w:szCs w:val="20"/>
          <w:lang w:val="hr-HR"/>
        </w:rPr>
        <w:t xml:space="preserve"> 20</w:t>
      </w:r>
      <w:r w:rsidR="00634248" w:rsidRPr="002C7ECA">
        <w:rPr>
          <w:rFonts w:ascii="Calibri" w:hAnsi="Calibri" w:cs="Tahoma"/>
          <w:sz w:val="20"/>
          <w:szCs w:val="20"/>
          <w:lang w:val="hr-HR"/>
        </w:rPr>
        <w:t>2</w:t>
      </w:r>
      <w:r w:rsidR="00161530" w:rsidRPr="002C7ECA">
        <w:rPr>
          <w:rFonts w:ascii="Calibri" w:hAnsi="Calibri" w:cs="Tahoma"/>
          <w:sz w:val="20"/>
          <w:szCs w:val="20"/>
          <w:lang w:val="hr-HR"/>
        </w:rPr>
        <w:t>3</w:t>
      </w:r>
      <w:r w:rsidRPr="002C7ECA">
        <w:rPr>
          <w:rFonts w:ascii="Calibri" w:hAnsi="Calibri" w:cs="Tahoma"/>
          <w:sz w:val="20"/>
          <w:szCs w:val="20"/>
          <w:lang w:val="hr-HR"/>
        </w:rPr>
        <w:t>. godine objavljuje</w:t>
      </w:r>
    </w:p>
    <w:p w14:paraId="43602B7A" w14:textId="77777777" w:rsidR="00DE593D" w:rsidRPr="00343D31" w:rsidRDefault="00DE593D" w:rsidP="00DE593D">
      <w:pPr>
        <w:jc w:val="center"/>
        <w:rPr>
          <w:rFonts w:ascii="Calibri" w:hAnsi="Calibri" w:cs="Tahoma"/>
          <w:b/>
          <w:sz w:val="20"/>
          <w:szCs w:val="20"/>
          <w:lang w:val="hr-HR"/>
        </w:rPr>
      </w:pPr>
    </w:p>
    <w:p w14:paraId="5B70B9E4" w14:textId="77777777" w:rsidR="00DE593D" w:rsidRPr="00343D31" w:rsidRDefault="00DE593D" w:rsidP="00DE593D">
      <w:pPr>
        <w:jc w:val="center"/>
        <w:rPr>
          <w:rFonts w:ascii="Calibri" w:hAnsi="Calibri" w:cs="Tahoma"/>
          <w:b/>
          <w:sz w:val="20"/>
          <w:szCs w:val="20"/>
          <w:lang w:val="hr-HR"/>
        </w:rPr>
      </w:pPr>
      <w:r w:rsidRPr="00343D31">
        <w:rPr>
          <w:rFonts w:ascii="Calibri" w:hAnsi="Calibri" w:cs="Tahoma"/>
          <w:b/>
          <w:sz w:val="20"/>
          <w:szCs w:val="20"/>
          <w:lang w:val="hr-HR"/>
        </w:rPr>
        <w:t>NATJEČAJ</w:t>
      </w:r>
    </w:p>
    <w:p w14:paraId="0E98401D" w14:textId="77777777" w:rsidR="00DE593D" w:rsidRPr="00343D31" w:rsidRDefault="00DE593D" w:rsidP="00DE593D">
      <w:pPr>
        <w:jc w:val="center"/>
        <w:rPr>
          <w:rFonts w:ascii="Calibri" w:hAnsi="Calibri" w:cs="Tahoma"/>
          <w:b/>
          <w:sz w:val="20"/>
          <w:szCs w:val="20"/>
          <w:lang w:val="hr-HR"/>
        </w:rPr>
      </w:pPr>
      <w:r w:rsidRPr="00343D31">
        <w:rPr>
          <w:rFonts w:ascii="Calibri" w:hAnsi="Calibri" w:cs="Tahoma"/>
          <w:b/>
          <w:sz w:val="20"/>
          <w:szCs w:val="20"/>
          <w:lang w:val="hr-HR"/>
        </w:rPr>
        <w:t xml:space="preserve">za nastavno i nenastavno osoblje </w:t>
      </w:r>
    </w:p>
    <w:p w14:paraId="08477ECA" w14:textId="0A96FD53" w:rsidR="00FC0BA3" w:rsidRDefault="00DE593D" w:rsidP="00DE593D">
      <w:pPr>
        <w:jc w:val="center"/>
        <w:rPr>
          <w:rFonts w:ascii="Calibri" w:hAnsi="Calibri" w:cs="Tahoma"/>
          <w:b/>
          <w:sz w:val="20"/>
          <w:szCs w:val="20"/>
          <w:lang w:val="hr-HR"/>
        </w:rPr>
      </w:pPr>
      <w:r w:rsidRPr="00343D31">
        <w:rPr>
          <w:rFonts w:ascii="Calibri" w:hAnsi="Calibri" w:cs="Tahoma"/>
          <w:sz w:val="20"/>
          <w:szCs w:val="20"/>
          <w:lang w:val="hr-HR"/>
        </w:rPr>
        <w:t>za mobilnost u 20</w:t>
      </w:r>
      <w:r w:rsidR="00634248" w:rsidRPr="00343D31">
        <w:rPr>
          <w:rFonts w:ascii="Calibri" w:hAnsi="Calibri" w:cs="Tahoma"/>
          <w:sz w:val="20"/>
          <w:szCs w:val="20"/>
          <w:lang w:val="hr-HR"/>
        </w:rPr>
        <w:t>2</w:t>
      </w:r>
      <w:r w:rsidR="001812D3">
        <w:rPr>
          <w:rFonts w:ascii="Calibri" w:hAnsi="Calibri" w:cs="Tahoma"/>
          <w:sz w:val="20"/>
          <w:szCs w:val="20"/>
          <w:lang w:val="hr-HR"/>
        </w:rPr>
        <w:t>3</w:t>
      </w:r>
      <w:r w:rsidRPr="00343D31">
        <w:rPr>
          <w:rFonts w:ascii="Calibri" w:hAnsi="Calibri" w:cs="Tahoma"/>
          <w:sz w:val="20"/>
          <w:szCs w:val="20"/>
          <w:lang w:val="hr-HR"/>
        </w:rPr>
        <w:t>.</w:t>
      </w:r>
      <w:r w:rsidR="004106AB">
        <w:rPr>
          <w:rFonts w:ascii="Calibri" w:hAnsi="Calibri" w:cs="Tahoma"/>
          <w:sz w:val="20"/>
          <w:szCs w:val="20"/>
          <w:lang w:val="hr-HR"/>
        </w:rPr>
        <w:t xml:space="preserve">- </w:t>
      </w:r>
      <w:r w:rsidRPr="00343D31">
        <w:rPr>
          <w:rFonts w:ascii="Calibri" w:hAnsi="Calibri" w:cs="Tahoma"/>
          <w:sz w:val="20"/>
          <w:szCs w:val="20"/>
          <w:lang w:val="hr-HR"/>
        </w:rPr>
        <w:t>202</w:t>
      </w:r>
      <w:r w:rsidR="001812D3">
        <w:rPr>
          <w:rFonts w:ascii="Calibri" w:hAnsi="Calibri" w:cs="Tahoma"/>
          <w:sz w:val="20"/>
          <w:szCs w:val="20"/>
          <w:lang w:val="hr-HR"/>
        </w:rPr>
        <w:t>6</w:t>
      </w:r>
      <w:r w:rsidRPr="00343D31">
        <w:rPr>
          <w:rFonts w:ascii="Calibri" w:hAnsi="Calibri" w:cs="Tahoma"/>
          <w:sz w:val="20"/>
          <w:szCs w:val="20"/>
          <w:lang w:val="hr-HR"/>
        </w:rPr>
        <w:t>.</w:t>
      </w:r>
      <w:r w:rsidR="00FC0BA3">
        <w:rPr>
          <w:rFonts w:ascii="Calibri" w:hAnsi="Calibri" w:cs="Tahoma"/>
          <w:sz w:val="20"/>
          <w:szCs w:val="20"/>
          <w:lang w:val="hr-HR"/>
        </w:rPr>
        <w:t xml:space="preserve"> </w:t>
      </w:r>
      <w:r w:rsidRPr="00343D31">
        <w:rPr>
          <w:rFonts w:ascii="Calibri" w:hAnsi="Calibri" w:cs="Tahoma"/>
          <w:sz w:val="20"/>
          <w:szCs w:val="20"/>
          <w:lang w:val="hr-HR"/>
        </w:rPr>
        <w:t xml:space="preserve">u okviru </w:t>
      </w:r>
      <w:r w:rsidRPr="00343D31">
        <w:rPr>
          <w:rFonts w:ascii="Calibri" w:hAnsi="Calibri" w:cs="Tahoma"/>
          <w:b/>
          <w:sz w:val="20"/>
          <w:szCs w:val="20"/>
          <w:lang w:val="hr-HR"/>
        </w:rPr>
        <w:t>programa</w:t>
      </w:r>
      <w:r w:rsidRPr="00343D31">
        <w:rPr>
          <w:rFonts w:ascii="Calibri" w:hAnsi="Calibri" w:cs="Tahoma"/>
          <w:sz w:val="20"/>
          <w:szCs w:val="20"/>
          <w:lang w:val="hr-HR"/>
        </w:rPr>
        <w:t xml:space="preserve"> </w:t>
      </w:r>
      <w:r w:rsidRPr="00343D31">
        <w:rPr>
          <w:rFonts w:ascii="Calibri" w:hAnsi="Calibri" w:cs="Tahoma"/>
          <w:b/>
          <w:sz w:val="20"/>
          <w:szCs w:val="20"/>
          <w:lang w:val="hr-HR"/>
        </w:rPr>
        <w:t>Erasmus</w:t>
      </w:r>
      <w:r w:rsidR="000C67B5">
        <w:rPr>
          <w:rFonts w:ascii="Calibri" w:hAnsi="Calibri" w:cs="Tahoma"/>
          <w:b/>
          <w:sz w:val="20"/>
          <w:szCs w:val="20"/>
          <w:lang w:val="hr-HR"/>
        </w:rPr>
        <w:t xml:space="preserve"> </w:t>
      </w:r>
    </w:p>
    <w:p w14:paraId="1729A5BC" w14:textId="559F6931" w:rsidR="00DE593D" w:rsidRPr="00343D31" w:rsidRDefault="000C67B5" w:rsidP="00DE593D">
      <w:pPr>
        <w:jc w:val="center"/>
        <w:rPr>
          <w:rFonts w:ascii="Calibri" w:hAnsi="Calibri" w:cs="Tahoma"/>
          <w:b/>
          <w:sz w:val="20"/>
          <w:szCs w:val="20"/>
          <w:lang w:val="hr-HR"/>
        </w:rPr>
      </w:pPr>
      <w:r>
        <w:rPr>
          <w:rFonts w:ascii="Calibri" w:hAnsi="Calibri" w:cs="Tahoma"/>
          <w:sz w:val="20"/>
          <w:szCs w:val="20"/>
          <w:lang w:val="hr-HR"/>
        </w:rPr>
        <w:t xml:space="preserve">(projekt </w:t>
      </w:r>
      <w:r w:rsidR="00161530" w:rsidRPr="00161530">
        <w:rPr>
          <w:rFonts w:ascii="Calibri" w:hAnsi="Calibri" w:cs="Tahoma"/>
          <w:sz w:val="20"/>
          <w:szCs w:val="20"/>
          <w:lang w:val="hr-HR"/>
        </w:rPr>
        <w:t>2023-1-HR01-KA131-HED-000113440</w:t>
      </w:r>
      <w:r>
        <w:rPr>
          <w:rFonts w:ascii="Calibri" w:hAnsi="Calibri" w:cs="Tahoma"/>
          <w:sz w:val="20"/>
          <w:szCs w:val="20"/>
          <w:lang w:val="hr-HR"/>
        </w:rPr>
        <w:t>)</w:t>
      </w:r>
    </w:p>
    <w:p w14:paraId="33C7E562" w14:textId="77777777" w:rsidR="00DE593D" w:rsidRPr="00343D31" w:rsidRDefault="00DE593D" w:rsidP="00DE593D">
      <w:pPr>
        <w:jc w:val="both"/>
        <w:rPr>
          <w:rFonts w:ascii="Calibri" w:hAnsi="Calibri" w:cs="Tahoma"/>
          <w:b/>
          <w:sz w:val="20"/>
          <w:szCs w:val="20"/>
          <w:lang w:val="hr-HR"/>
        </w:rPr>
      </w:pPr>
    </w:p>
    <w:p w14:paraId="16B7A10B" w14:textId="77777777" w:rsidR="00DE593D" w:rsidRPr="00343D31" w:rsidRDefault="00DE593D" w:rsidP="00DE593D">
      <w:pPr>
        <w:shd w:val="clear" w:color="auto" w:fill="99CCFF"/>
        <w:jc w:val="both"/>
        <w:rPr>
          <w:rFonts w:ascii="Calibri" w:hAnsi="Calibri" w:cs="Tahoma"/>
          <w:b/>
          <w:sz w:val="20"/>
          <w:szCs w:val="20"/>
          <w:lang w:val="hr-HR"/>
        </w:rPr>
      </w:pPr>
      <w:r w:rsidRPr="00343D31">
        <w:rPr>
          <w:rFonts w:ascii="Calibri" w:hAnsi="Calibri" w:cs="Tahoma"/>
          <w:b/>
          <w:sz w:val="20"/>
          <w:szCs w:val="20"/>
          <w:lang w:val="hr-HR"/>
        </w:rPr>
        <w:t>A Opći uvjeti Natječaja</w:t>
      </w:r>
    </w:p>
    <w:p w14:paraId="1DA9DE91" w14:textId="77777777" w:rsidR="00DE593D" w:rsidRPr="00343D31" w:rsidRDefault="00DE593D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6A80F311" w14:textId="5575CA61" w:rsidR="00DE593D" w:rsidRDefault="001812D3" w:rsidP="00DE593D">
      <w:pPr>
        <w:jc w:val="both"/>
        <w:rPr>
          <w:rFonts w:ascii="Calibri" w:hAnsi="Calibri" w:cs="Tahoma"/>
          <w:i/>
          <w:iCs/>
          <w:sz w:val="20"/>
          <w:szCs w:val="20"/>
          <w:lang w:val="hr-HR"/>
        </w:rPr>
      </w:pPr>
      <w:r w:rsidRPr="001812D3">
        <w:rPr>
          <w:rFonts w:ascii="Calibri" w:hAnsi="Calibri" w:cs="Tahoma"/>
          <w:i/>
          <w:iCs/>
          <w:sz w:val="20"/>
          <w:szCs w:val="20"/>
          <w:lang w:val="hr-HR"/>
        </w:rPr>
        <w:t>objavljuje Natječaj za mobilnost nastavnog/nenastavnog osoblja radi održavanja nastave/stručnog usavršavanja u okviru programa Erasmus u partnerskoj zemlji BiH koja nije pridružena programu, (INTERNATIONAL OPENING projekt 2023-1-HR01-KA131-HED-000113440), a temeljem ranije uspostavljene suradnje sa Sveučilištem u Mostaru u okviru KA171 2023 projekta</w:t>
      </w:r>
      <w:r>
        <w:rPr>
          <w:rFonts w:ascii="Calibri" w:hAnsi="Calibri" w:cs="Tahoma"/>
          <w:i/>
          <w:iCs/>
          <w:sz w:val="20"/>
          <w:szCs w:val="20"/>
          <w:lang w:val="hr-HR"/>
        </w:rPr>
        <w:t>.</w:t>
      </w:r>
    </w:p>
    <w:p w14:paraId="22E1BCC3" w14:textId="77777777" w:rsidR="001812D3" w:rsidRPr="00343D31" w:rsidRDefault="001812D3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65BDAF7E" w14:textId="77777777" w:rsidR="001812D3" w:rsidRPr="001812D3" w:rsidRDefault="001812D3" w:rsidP="001812D3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1812D3">
        <w:rPr>
          <w:rFonts w:ascii="Calibri" w:hAnsi="Calibri" w:cs="Tahoma"/>
          <w:sz w:val="20"/>
          <w:szCs w:val="20"/>
          <w:lang w:val="hr-HR"/>
        </w:rPr>
        <w:t xml:space="preserve">Sveučilištu u Rijeci je u srpnju 2023. godine odobren novi </w:t>
      </w:r>
      <w:r w:rsidRPr="001812D3">
        <w:rPr>
          <w:rFonts w:ascii="Calibri" w:hAnsi="Calibri" w:cs="Tahoma"/>
          <w:i/>
          <w:sz w:val="20"/>
          <w:szCs w:val="20"/>
          <w:lang w:val="hr-HR"/>
        </w:rPr>
        <w:t>Erasmus KA171 projekt</w:t>
      </w:r>
      <w:r w:rsidRPr="001812D3">
        <w:rPr>
          <w:rFonts w:ascii="Calibri" w:hAnsi="Calibri" w:cs="Tahoma"/>
          <w:sz w:val="20"/>
          <w:szCs w:val="20"/>
          <w:lang w:val="hr-HR"/>
        </w:rPr>
        <w:t xml:space="preserve"> čime je omogućeno sudjelovanje Sveučilišta u programu Erasmus+ za razdoblje od 2023. do 2026. godine.</w:t>
      </w:r>
    </w:p>
    <w:p w14:paraId="390259A1" w14:textId="77777777" w:rsidR="001812D3" w:rsidRPr="001812D3" w:rsidRDefault="001812D3" w:rsidP="001812D3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2A353BB3" w14:textId="77777777" w:rsidR="001812D3" w:rsidRPr="001812D3" w:rsidRDefault="001812D3" w:rsidP="001812D3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1812D3">
        <w:rPr>
          <w:rFonts w:ascii="Calibri" w:hAnsi="Calibri" w:cs="Tahoma"/>
          <w:sz w:val="20"/>
          <w:szCs w:val="20"/>
          <w:lang w:val="hr-HR"/>
        </w:rPr>
        <w:t>Broj financijskih potpora koje će Fakultet zdravstvenih studija dodijeliti za mobilnost studenata je jedna (1). Studenti koji se prijave na Natječaj i zadovolje sve uvjete Natječaja, a ne uđu u krug stipendiranih studenata, mogu na razmjenu otići o vlastitom trošku.</w:t>
      </w:r>
    </w:p>
    <w:p w14:paraId="573FFD12" w14:textId="77777777" w:rsidR="001812D3" w:rsidRPr="001812D3" w:rsidRDefault="001812D3" w:rsidP="001812D3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4CDC7A79" w14:textId="798CDBF8" w:rsidR="001812D3" w:rsidRPr="001812D3" w:rsidRDefault="001812D3" w:rsidP="001812D3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1812D3">
        <w:rPr>
          <w:rFonts w:ascii="Calibri" w:hAnsi="Calibri" w:cs="Tahoma"/>
          <w:sz w:val="20"/>
          <w:szCs w:val="20"/>
          <w:lang w:val="hr-HR"/>
        </w:rPr>
        <w:t>Mobilnost se može ostvariti na Sveučilištu u Mostaru, BIH</w:t>
      </w:r>
      <w:r w:rsidRPr="001812D3">
        <w:rPr>
          <w:rFonts w:ascii="Calibri" w:hAnsi="Calibri" w:cs="Tahoma"/>
          <w:b/>
          <w:sz w:val="20"/>
          <w:szCs w:val="20"/>
          <w:lang w:val="hr-HR"/>
        </w:rPr>
        <w:t xml:space="preserve"> od 01. </w:t>
      </w:r>
      <w:r w:rsidR="004106AB">
        <w:rPr>
          <w:rFonts w:ascii="Calibri" w:hAnsi="Calibri" w:cs="Tahoma"/>
          <w:b/>
          <w:sz w:val="20"/>
          <w:szCs w:val="20"/>
          <w:lang w:val="hr-HR"/>
        </w:rPr>
        <w:t>siječnja</w:t>
      </w:r>
      <w:r w:rsidRPr="001812D3">
        <w:rPr>
          <w:rFonts w:ascii="Calibri" w:hAnsi="Calibri" w:cs="Tahoma"/>
          <w:b/>
          <w:sz w:val="20"/>
          <w:szCs w:val="20"/>
          <w:lang w:val="hr-HR"/>
        </w:rPr>
        <w:t xml:space="preserve"> 202</w:t>
      </w:r>
      <w:r w:rsidR="004106AB">
        <w:rPr>
          <w:rFonts w:ascii="Calibri" w:hAnsi="Calibri" w:cs="Tahoma"/>
          <w:b/>
          <w:sz w:val="20"/>
          <w:szCs w:val="20"/>
          <w:lang w:val="hr-HR"/>
        </w:rPr>
        <w:t>4</w:t>
      </w:r>
      <w:r w:rsidRPr="001812D3">
        <w:rPr>
          <w:rFonts w:ascii="Calibri" w:hAnsi="Calibri" w:cs="Tahoma"/>
          <w:b/>
          <w:sz w:val="20"/>
          <w:szCs w:val="20"/>
          <w:lang w:val="hr-HR"/>
        </w:rPr>
        <w:t>. do 31. srpnja 2026.</w:t>
      </w:r>
      <w:r w:rsidRPr="001812D3">
        <w:rPr>
          <w:rFonts w:ascii="Calibri" w:hAnsi="Calibri" w:cs="Tahoma"/>
          <w:sz w:val="20"/>
          <w:szCs w:val="20"/>
          <w:lang w:val="hr-HR"/>
        </w:rPr>
        <w:t xml:space="preserve"> </w:t>
      </w:r>
    </w:p>
    <w:p w14:paraId="4153531E" w14:textId="77777777" w:rsidR="001812D3" w:rsidRPr="001812D3" w:rsidRDefault="001812D3" w:rsidP="001812D3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687179EA" w14:textId="77777777" w:rsidR="00DE593D" w:rsidRPr="00343D31" w:rsidRDefault="00DE593D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343D31">
        <w:rPr>
          <w:rFonts w:ascii="Calibri" w:hAnsi="Calibri" w:cs="Tahoma"/>
          <w:sz w:val="20"/>
          <w:szCs w:val="20"/>
          <w:lang w:val="hr-HR"/>
        </w:rPr>
        <w:t>Nastavno i nenastavno osoblje može se prijaviti za mobilnost u svrhu:</w:t>
      </w:r>
    </w:p>
    <w:p w14:paraId="645F00E3" w14:textId="77777777" w:rsidR="00DE593D" w:rsidRPr="00343D31" w:rsidRDefault="00DE593D" w:rsidP="00DE593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Tahoma"/>
          <w:sz w:val="20"/>
          <w:szCs w:val="20"/>
          <w:lang w:val="hr-HR"/>
        </w:rPr>
      </w:pPr>
      <w:r w:rsidRPr="00343D31">
        <w:rPr>
          <w:rFonts w:ascii="Calibri" w:hAnsi="Calibri" w:cs="Tahoma"/>
          <w:sz w:val="20"/>
          <w:szCs w:val="20"/>
          <w:lang w:val="hr-HR"/>
        </w:rPr>
        <w:t>održavanja nastave/podučavanja (za nastavno osoblje);</w:t>
      </w:r>
    </w:p>
    <w:p w14:paraId="2BB20079" w14:textId="77777777" w:rsidR="00DE593D" w:rsidRPr="00343D31" w:rsidRDefault="00DE593D" w:rsidP="00DE593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Tahoma"/>
          <w:sz w:val="20"/>
          <w:szCs w:val="20"/>
          <w:lang w:val="hr-HR"/>
        </w:rPr>
      </w:pPr>
      <w:r w:rsidRPr="00343D31">
        <w:rPr>
          <w:rFonts w:ascii="Calibri" w:hAnsi="Calibri" w:cs="Tahoma"/>
          <w:sz w:val="20"/>
          <w:szCs w:val="20"/>
          <w:lang w:val="hr-HR"/>
        </w:rPr>
        <w:t>stručnog usavršavanja/osposobljavanja (za nastavno i nenastavno osoblje);</w:t>
      </w:r>
    </w:p>
    <w:p w14:paraId="66C8ED08" w14:textId="77777777" w:rsidR="00DE593D" w:rsidRPr="00343D31" w:rsidRDefault="00DE593D" w:rsidP="00DE593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Tahoma"/>
          <w:sz w:val="20"/>
          <w:szCs w:val="20"/>
          <w:lang w:val="hr-HR"/>
        </w:rPr>
      </w:pPr>
      <w:r w:rsidRPr="00343D31">
        <w:rPr>
          <w:rFonts w:ascii="Calibri" w:hAnsi="Calibri" w:cs="Tahoma"/>
          <w:sz w:val="20"/>
          <w:szCs w:val="20"/>
          <w:lang w:val="hr-HR"/>
        </w:rPr>
        <w:t>kombinaciju održavanja nastave/podučavanja i stručnog usavršavanja/osposobljavanja (za nastavno osoblje).</w:t>
      </w:r>
    </w:p>
    <w:p w14:paraId="453A4C42" w14:textId="77777777" w:rsidR="00DE593D" w:rsidRPr="00343D31" w:rsidRDefault="00DE593D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688C5F95" w14:textId="77777777" w:rsidR="00DE593D" w:rsidRPr="00343D31" w:rsidRDefault="00DE593D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343D31">
        <w:rPr>
          <w:rFonts w:ascii="Calibri" w:hAnsi="Calibri" w:cs="Tahoma"/>
          <w:sz w:val="20"/>
          <w:szCs w:val="20"/>
          <w:lang w:val="hr-HR"/>
        </w:rPr>
        <w:t>Aktivnost održavanja nastave/poučavanja omogućava nastavnom osoblju visokog učilišta da poučava na partnerskom visokom učilištu u inozemstvu. Mobilnost osoblja u svrhu poučavanja može se odvijati u bilo kojem području studija / bilo kojoj akademskoj disciplini.</w:t>
      </w:r>
    </w:p>
    <w:p w14:paraId="6C3BCEA3" w14:textId="77777777" w:rsidR="00DE593D" w:rsidRPr="00343D31" w:rsidRDefault="00DE593D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4D73388D" w14:textId="77777777" w:rsidR="00DE593D" w:rsidRPr="00343D31" w:rsidRDefault="00DE593D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343D31">
        <w:rPr>
          <w:rFonts w:ascii="Calibri" w:hAnsi="Calibri" w:cs="Tahoma"/>
          <w:sz w:val="20"/>
          <w:szCs w:val="20"/>
          <w:lang w:val="hr-HR"/>
        </w:rPr>
        <w:t>Aktivnost stručnog usavršavanja/osposobljavanja podupire profesionalni razvoj nastavnog i nenastavnog osoblja visokog učilišta u obliku osposobljavanja u inozemstvu (osim konferencija!) i praćenja rada / hospitiranja / osposobljavanja na partnerskom visokom učilištu ili u drugoj odgovarajućoj organizaciji u inozemstvu. Pri dodjeli sredstava za mobilnost osoblja naglasak će se staviti na razdoblja osposobljavanja za nastavno osoblje visokog učilišta tijekom kojih će moći razvijati svoje pedagoške vještine i vještine stvaranja kurikuluma.</w:t>
      </w:r>
    </w:p>
    <w:p w14:paraId="584D6472" w14:textId="77777777" w:rsidR="00DE593D" w:rsidRPr="00343D31" w:rsidRDefault="00DE593D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2C13407B" w14:textId="77777777" w:rsidR="00DE593D" w:rsidRPr="00343D31" w:rsidRDefault="00DE593D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343D31">
        <w:rPr>
          <w:rFonts w:ascii="Calibri" w:hAnsi="Calibri" w:cs="Tahoma"/>
          <w:sz w:val="20"/>
          <w:szCs w:val="20"/>
          <w:lang w:val="hr-HR"/>
        </w:rPr>
        <w:t>Tijekom razdoblja provedenog u inozemstvu mogu se kombinirati aktivnosti poučavanja i osposobljavanja.</w:t>
      </w:r>
    </w:p>
    <w:p w14:paraId="3E84A8F6" w14:textId="77777777" w:rsidR="00F45B98" w:rsidRPr="00343D31" w:rsidRDefault="00F45B98" w:rsidP="00DE593D">
      <w:pPr>
        <w:jc w:val="both"/>
        <w:rPr>
          <w:rFonts w:ascii="Calibri" w:hAnsi="Calibri" w:cs="Tahoma"/>
          <w:color w:val="FF0000"/>
          <w:sz w:val="20"/>
          <w:szCs w:val="20"/>
          <w:lang w:val="hr-HR"/>
        </w:rPr>
      </w:pPr>
    </w:p>
    <w:p w14:paraId="2BED09F5" w14:textId="2D2DB074" w:rsidR="00DE593D" w:rsidRPr="00343D31" w:rsidRDefault="00F45B98" w:rsidP="00F45B98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542AA3">
        <w:rPr>
          <w:rFonts w:ascii="Calibri" w:hAnsi="Calibri" w:cs="Tahoma"/>
          <w:sz w:val="20"/>
          <w:szCs w:val="20"/>
          <w:lang w:val="hr-HR"/>
        </w:rPr>
        <w:t>Standardna (fizička) m</w:t>
      </w:r>
      <w:r w:rsidR="00DE593D" w:rsidRPr="00542AA3">
        <w:rPr>
          <w:rFonts w:ascii="Calibri" w:hAnsi="Calibri" w:cs="Tahoma"/>
          <w:sz w:val="20"/>
          <w:szCs w:val="20"/>
          <w:lang w:val="hr-HR"/>
        </w:rPr>
        <w:t xml:space="preserve">obilnost osoblja u svrhu održavanja nastave i u svrhu stručnog usavršavanja može trajati (isključujući dane provedene na putu) najkraće 2 dana, a najdulje 2 mjeseca. </w:t>
      </w:r>
      <w:r w:rsidRPr="00542AA3">
        <w:rPr>
          <w:rFonts w:ascii="Calibri" w:hAnsi="Calibri" w:cs="Tahoma"/>
          <w:sz w:val="20"/>
          <w:szCs w:val="20"/>
          <w:lang w:val="hr-HR"/>
        </w:rPr>
        <w:t xml:space="preserve">Nadalje, moguća je i </w:t>
      </w:r>
      <w:r w:rsidRPr="00542AA3">
        <w:rPr>
          <w:rFonts w:ascii="Calibri" w:hAnsi="Calibri" w:cs="Tahoma"/>
          <w:i/>
          <w:sz w:val="20"/>
          <w:szCs w:val="20"/>
          <w:lang w:val="hr-HR"/>
        </w:rPr>
        <w:t>blended</w:t>
      </w:r>
      <w:r w:rsidRPr="00542AA3">
        <w:rPr>
          <w:rFonts w:ascii="Calibri" w:hAnsi="Calibri" w:cs="Tahoma"/>
          <w:sz w:val="20"/>
          <w:szCs w:val="20"/>
          <w:lang w:val="hr-HR"/>
        </w:rPr>
        <w:t xml:space="preserve"> mobilnosti, odnosno kombinacija fizičke i virtualne mobilnosti. Format podrazumijeva kratkoročnu </w:t>
      </w:r>
      <w:r w:rsidRPr="00542AA3">
        <w:rPr>
          <w:rFonts w:ascii="Calibri" w:hAnsi="Calibri" w:cs="Tahoma"/>
          <w:sz w:val="20"/>
          <w:szCs w:val="20"/>
          <w:lang w:val="hr-HR"/>
        </w:rPr>
        <w:lastRenderedPageBreak/>
        <w:t>fizičku mobilnost kombiniranu s online učenjem odnosno s obaveznom virtualnom komponentnom prije, tijekom i/ili nakon fizičkog dijela mobilnosti. Fizički dio mora trajati od 5 do 30 dana.</w:t>
      </w:r>
    </w:p>
    <w:p w14:paraId="3FA3BC5E" w14:textId="77777777" w:rsidR="00DE593D" w:rsidRPr="00343D31" w:rsidRDefault="00DE593D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131EA3E2" w14:textId="1FEEC6CF" w:rsidR="00DE593D" w:rsidRPr="00343D31" w:rsidRDefault="00DE593D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343D31">
        <w:rPr>
          <w:rFonts w:ascii="Calibri" w:hAnsi="Calibri" w:cs="Tahoma"/>
          <w:sz w:val="20"/>
          <w:szCs w:val="20"/>
          <w:u w:val="single"/>
          <w:lang w:val="hr-HR"/>
        </w:rPr>
        <w:t>Održavanje nastave/poučavanje</w:t>
      </w:r>
      <w:r w:rsidRPr="00343D31">
        <w:rPr>
          <w:rFonts w:ascii="Calibri" w:hAnsi="Calibri" w:cs="Tahoma"/>
          <w:sz w:val="20"/>
          <w:szCs w:val="20"/>
          <w:lang w:val="hr-HR"/>
        </w:rPr>
        <w:t xml:space="preserve"> mora obuhvaćati </w:t>
      </w:r>
      <w:r w:rsidRPr="00343D31">
        <w:rPr>
          <w:rFonts w:ascii="Calibri" w:hAnsi="Calibri" w:cs="Tahoma"/>
          <w:sz w:val="20"/>
          <w:szCs w:val="20"/>
          <w:u w:val="single"/>
          <w:lang w:val="hr-HR"/>
        </w:rPr>
        <w:t>najmanje 8 sati poučavanja tjedno</w:t>
      </w:r>
      <w:r w:rsidRPr="00343D31">
        <w:rPr>
          <w:rFonts w:ascii="Calibri" w:hAnsi="Calibri" w:cs="Tahoma"/>
          <w:sz w:val="20"/>
          <w:szCs w:val="20"/>
          <w:lang w:val="hr-HR"/>
        </w:rPr>
        <w:t xml:space="preserve"> (ili bilo koje kraće razdoblje boravka). Ako se </w:t>
      </w:r>
      <w:r w:rsidRPr="00343D31">
        <w:rPr>
          <w:rFonts w:ascii="Calibri" w:hAnsi="Calibri" w:cs="Tahoma"/>
          <w:sz w:val="20"/>
          <w:szCs w:val="20"/>
          <w:u w:val="single"/>
          <w:lang w:val="hr-HR"/>
        </w:rPr>
        <w:t>održavanje nastave/poučavanje kombinira sa stručnim usavršavanjem/osposobljavanjem</w:t>
      </w:r>
      <w:r w:rsidRPr="00343D31">
        <w:rPr>
          <w:rFonts w:ascii="Calibri" w:hAnsi="Calibri" w:cs="Tahoma"/>
          <w:sz w:val="20"/>
          <w:szCs w:val="20"/>
          <w:lang w:val="hr-HR"/>
        </w:rPr>
        <w:t xml:space="preserve"> tijekom jednog razdoblja u inozemstvu, </w:t>
      </w:r>
      <w:r w:rsidRPr="00343D31">
        <w:rPr>
          <w:rFonts w:ascii="Calibri" w:hAnsi="Calibri" w:cs="Tahoma"/>
          <w:sz w:val="20"/>
          <w:szCs w:val="20"/>
          <w:u w:val="single"/>
          <w:lang w:val="hr-HR"/>
        </w:rPr>
        <w:t>najmanji broj sati poučavanja tjedno</w:t>
      </w:r>
      <w:r w:rsidRPr="00343D31">
        <w:rPr>
          <w:rFonts w:ascii="Calibri" w:hAnsi="Calibri" w:cs="Tahoma"/>
          <w:sz w:val="20"/>
          <w:szCs w:val="20"/>
          <w:lang w:val="hr-HR"/>
        </w:rPr>
        <w:t xml:space="preserve"> (ili bilo koje kraće razdoblje boravka) </w:t>
      </w:r>
      <w:r w:rsidRPr="00343D31">
        <w:rPr>
          <w:rFonts w:ascii="Calibri" w:hAnsi="Calibri" w:cs="Tahoma"/>
          <w:sz w:val="20"/>
          <w:szCs w:val="20"/>
          <w:u w:val="single"/>
          <w:lang w:val="hr-HR"/>
        </w:rPr>
        <w:t>smanjuje se na 4 sata</w:t>
      </w:r>
      <w:r w:rsidRPr="00343D31">
        <w:rPr>
          <w:rFonts w:ascii="Calibri" w:hAnsi="Calibri" w:cs="Tahoma"/>
          <w:sz w:val="20"/>
          <w:szCs w:val="20"/>
          <w:lang w:val="hr-HR"/>
        </w:rPr>
        <w:t>. Ako mobilnost traje duže od jednog tjedna, najmanji broj sati nastave u nepunom tjednu mora biti proporcionalan trajanju tog tjedna.</w:t>
      </w:r>
    </w:p>
    <w:p w14:paraId="264DA7CD" w14:textId="77777777" w:rsidR="001D2298" w:rsidRPr="00343D31" w:rsidRDefault="001D2298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1981C296" w14:textId="30D247C4" w:rsidR="00DE593D" w:rsidRPr="00343D31" w:rsidRDefault="00DE593D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343D31">
        <w:rPr>
          <w:rFonts w:ascii="Calibri" w:hAnsi="Calibri" w:cs="Tahoma"/>
          <w:sz w:val="20"/>
          <w:szCs w:val="20"/>
          <w:lang w:val="hr-HR"/>
        </w:rPr>
        <w:t>Mobilnost u svrhu održavanja nastave/kombinacije održavanja nastave i stručnog usavršavanja je moguća prema partnerskim visokoškolskim ustanovama s kojima  Sveučilište u Rijeci ima potpisan Erasmus ugovor o suradnji za ak. god. 202</w:t>
      </w:r>
      <w:r w:rsidR="006A4DE3">
        <w:rPr>
          <w:rFonts w:ascii="Calibri" w:hAnsi="Calibri" w:cs="Tahoma"/>
          <w:sz w:val="20"/>
          <w:szCs w:val="20"/>
          <w:lang w:val="hr-HR"/>
        </w:rPr>
        <w:t>3</w:t>
      </w:r>
      <w:r w:rsidRPr="00343D31">
        <w:rPr>
          <w:rFonts w:ascii="Calibri" w:hAnsi="Calibri" w:cs="Tahoma"/>
          <w:sz w:val="20"/>
          <w:szCs w:val="20"/>
          <w:lang w:val="hr-HR"/>
        </w:rPr>
        <w:t>.</w:t>
      </w:r>
      <w:r w:rsidR="00A47C87">
        <w:rPr>
          <w:rFonts w:ascii="Calibri" w:hAnsi="Calibri" w:cs="Tahoma"/>
          <w:sz w:val="20"/>
          <w:szCs w:val="20"/>
          <w:lang w:val="hr-HR"/>
        </w:rPr>
        <w:t>/2024.</w:t>
      </w:r>
      <w:r w:rsidR="005C5BA2">
        <w:rPr>
          <w:rFonts w:ascii="Calibri" w:hAnsi="Calibri" w:cs="Tahoma"/>
          <w:sz w:val="20"/>
          <w:szCs w:val="20"/>
          <w:lang w:val="hr-HR"/>
        </w:rPr>
        <w:t>/2025.</w:t>
      </w:r>
      <w:r w:rsidRPr="00343D31">
        <w:rPr>
          <w:rFonts w:ascii="Calibri" w:hAnsi="Calibri" w:cs="Tahoma"/>
          <w:sz w:val="20"/>
          <w:szCs w:val="20"/>
          <w:lang w:val="hr-HR"/>
        </w:rPr>
        <w:t xml:space="preserve"> (popis dotičnih ustanova u dodatku Natječaju) te prema inozemnim poduzećima/organizacijama.</w:t>
      </w:r>
    </w:p>
    <w:p w14:paraId="2212B1C9" w14:textId="77777777" w:rsidR="00DE593D" w:rsidRPr="00343D31" w:rsidRDefault="00DE593D" w:rsidP="00DE593D">
      <w:pPr>
        <w:spacing w:line="276" w:lineRule="auto"/>
        <w:rPr>
          <w:rFonts w:ascii="Calibri" w:hAnsi="Calibri"/>
          <w:sz w:val="20"/>
          <w:szCs w:val="20"/>
          <w:lang w:val="hr-HR"/>
        </w:rPr>
      </w:pPr>
    </w:p>
    <w:p w14:paraId="423B35D3" w14:textId="77777777" w:rsidR="00DE593D" w:rsidRPr="00343D31" w:rsidRDefault="00DE593D" w:rsidP="00DE593D">
      <w:pPr>
        <w:spacing w:line="276" w:lineRule="auto"/>
        <w:jc w:val="both"/>
        <w:rPr>
          <w:rFonts w:ascii="Calibri" w:hAnsi="Calibri" w:cs="Tahoma"/>
          <w:sz w:val="20"/>
          <w:szCs w:val="20"/>
          <w:lang w:val="hr-HR"/>
        </w:rPr>
      </w:pPr>
      <w:r w:rsidRPr="00343D31">
        <w:rPr>
          <w:rFonts w:ascii="Calibri" w:hAnsi="Calibri" w:cs="Tahoma"/>
          <w:sz w:val="20"/>
          <w:szCs w:val="20"/>
          <w:lang w:val="hr-HR"/>
        </w:rPr>
        <w:t xml:space="preserve">Svaki kandidat/kandidatkinja dužan je sam kontaktirati nastavnike/djelatnike odgovarajućih zavoda/katedri/odjela/ureda pri inozemnim ustanovama te dogovoriti plan i način rada, kao i vrijeme te trajanje boravka. </w:t>
      </w:r>
    </w:p>
    <w:p w14:paraId="748CB644" w14:textId="77777777" w:rsidR="00DE593D" w:rsidRPr="00343D31" w:rsidRDefault="00DE593D" w:rsidP="00DE593D">
      <w:pPr>
        <w:spacing w:line="276" w:lineRule="auto"/>
        <w:rPr>
          <w:rFonts w:ascii="Calibri" w:hAnsi="Calibri"/>
          <w:sz w:val="20"/>
          <w:szCs w:val="20"/>
          <w:lang w:val="hr-HR"/>
        </w:rPr>
      </w:pPr>
    </w:p>
    <w:p w14:paraId="55394E01" w14:textId="77777777" w:rsidR="00DE593D" w:rsidRPr="00343D31" w:rsidRDefault="00DE593D" w:rsidP="00DE593D">
      <w:pPr>
        <w:spacing w:line="276" w:lineRule="auto"/>
        <w:jc w:val="both"/>
        <w:rPr>
          <w:rFonts w:ascii="Calibri" w:hAnsi="Calibri"/>
          <w:sz w:val="20"/>
          <w:szCs w:val="20"/>
          <w:lang w:val="hr-HR"/>
        </w:rPr>
      </w:pPr>
      <w:r w:rsidRPr="00343D31">
        <w:rPr>
          <w:rFonts w:ascii="Calibri" w:hAnsi="Calibri"/>
          <w:sz w:val="20"/>
          <w:szCs w:val="20"/>
          <w:lang w:val="hr-HR"/>
        </w:rPr>
        <w:t xml:space="preserve">Nije potreban međuinstitucijski sporazum u slučaju mobilnosti u svrhu stručnog usavršavanja, ali ako se usavršavanje realizira na visokoškolskoj ustanovi, ta ustanova mora biti nositeljica povelje </w:t>
      </w:r>
      <w:r w:rsidRPr="00343D31">
        <w:rPr>
          <w:rFonts w:ascii="Calibri" w:hAnsi="Calibri"/>
          <w:i/>
          <w:sz w:val="20"/>
          <w:szCs w:val="20"/>
          <w:lang w:val="hr-HR"/>
        </w:rPr>
        <w:t>Erasmus Charter for Higher Education</w:t>
      </w:r>
      <w:r w:rsidRPr="00343D31">
        <w:rPr>
          <w:rFonts w:ascii="Calibri" w:hAnsi="Calibri"/>
          <w:sz w:val="20"/>
          <w:szCs w:val="20"/>
          <w:lang w:val="hr-HR"/>
        </w:rPr>
        <w:t xml:space="preserve"> </w:t>
      </w:r>
      <w:r w:rsidRPr="00343D31">
        <w:rPr>
          <w:rFonts w:ascii="Calibri" w:hAnsi="Calibri" w:cs="Tahoma"/>
          <w:sz w:val="20"/>
          <w:szCs w:val="20"/>
          <w:lang w:val="hr-HR"/>
        </w:rPr>
        <w:t>(popis dotičnih ustanova u dodatku Natječaju).</w:t>
      </w:r>
    </w:p>
    <w:p w14:paraId="12726D95" w14:textId="77777777" w:rsidR="00DE593D" w:rsidRPr="00343D31" w:rsidRDefault="00DE593D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4AE2B236" w14:textId="39C51D1F" w:rsidR="00DE593D" w:rsidRPr="00070239" w:rsidRDefault="00DE593D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343D31">
        <w:rPr>
          <w:rFonts w:ascii="Calibri" w:hAnsi="Calibri" w:cs="Tahoma"/>
          <w:sz w:val="20"/>
          <w:szCs w:val="20"/>
          <w:lang w:val="hr-HR"/>
        </w:rPr>
        <w:t>Detaljnije informacije o Erasmusu mogu se pronaći na mrežnim stranicama Agencije za mobilnost i programe EU (</w:t>
      </w:r>
      <w:hyperlink r:id="rId8" w:history="1">
        <w:r w:rsidRPr="00343D31">
          <w:rPr>
            <w:rStyle w:val="Hyperlink"/>
            <w:rFonts w:ascii="Calibri" w:hAnsi="Calibri" w:cs="Tahoma"/>
            <w:sz w:val="20"/>
            <w:szCs w:val="20"/>
            <w:lang w:val="hr-HR"/>
          </w:rPr>
          <w:t>www.mobilnost.hr</w:t>
        </w:r>
      </w:hyperlink>
      <w:r w:rsidRPr="00343D31">
        <w:rPr>
          <w:rFonts w:ascii="Calibri" w:hAnsi="Calibri" w:cs="Tahoma"/>
          <w:sz w:val="20"/>
          <w:szCs w:val="20"/>
          <w:lang w:val="hr-HR"/>
        </w:rPr>
        <w:t>) ili u rubrici Međunarodna suradnja</w:t>
      </w:r>
      <w:r w:rsidR="00F53FE2" w:rsidRPr="00343D31">
        <w:rPr>
          <w:rFonts w:ascii="Calibri" w:hAnsi="Calibri" w:cs="Tahoma"/>
          <w:sz w:val="20"/>
          <w:szCs w:val="20"/>
          <w:lang w:val="hr-HR"/>
        </w:rPr>
        <w:t xml:space="preserve"> i </w:t>
      </w:r>
      <w:r w:rsidRPr="00343D31">
        <w:rPr>
          <w:rFonts w:ascii="Calibri" w:hAnsi="Calibri" w:cs="Tahoma"/>
          <w:sz w:val="20"/>
          <w:szCs w:val="20"/>
          <w:lang w:val="hr-HR"/>
        </w:rPr>
        <w:t>Erasmus na mrežnim stranicama Sveučilišta u</w:t>
      </w:r>
      <w:r w:rsidRPr="00343D31">
        <w:rPr>
          <w:rFonts w:ascii="Calibri" w:hAnsi="Calibri" w:cs="Tahoma"/>
          <w:color w:val="FF0000"/>
          <w:sz w:val="20"/>
          <w:szCs w:val="20"/>
          <w:lang w:val="hr-HR"/>
        </w:rPr>
        <w:t xml:space="preserve"> </w:t>
      </w:r>
      <w:r w:rsidRPr="00070239">
        <w:rPr>
          <w:rFonts w:ascii="Calibri" w:hAnsi="Calibri" w:cs="Tahoma"/>
          <w:sz w:val="20"/>
          <w:szCs w:val="20"/>
          <w:lang w:val="hr-HR"/>
        </w:rPr>
        <w:t>Rijeci (</w:t>
      </w:r>
      <w:hyperlink r:id="rId9" w:history="1">
        <w:r w:rsidRPr="00070239">
          <w:rPr>
            <w:rStyle w:val="Hyperlink"/>
            <w:rFonts w:ascii="Calibri" w:hAnsi="Calibri" w:cs="Tahoma"/>
            <w:sz w:val="20"/>
            <w:szCs w:val="20"/>
            <w:lang w:val="hr-HR"/>
          </w:rPr>
          <w:t>www.uniri.hr</w:t>
        </w:r>
      </w:hyperlink>
      <w:r w:rsidRPr="00070239">
        <w:rPr>
          <w:rFonts w:ascii="Calibri" w:hAnsi="Calibri" w:cs="Tahoma"/>
          <w:sz w:val="20"/>
          <w:szCs w:val="20"/>
          <w:lang w:val="hr-HR"/>
        </w:rPr>
        <w:t xml:space="preserve">). </w:t>
      </w:r>
    </w:p>
    <w:p w14:paraId="1955E384" w14:textId="0B938C69" w:rsidR="00DE593D" w:rsidRPr="00343D31" w:rsidRDefault="00DE593D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0F060BC2" w14:textId="77777777" w:rsidR="00DE593D" w:rsidRPr="00343D31" w:rsidRDefault="00DE593D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75FDCBEB" w14:textId="77777777" w:rsidR="00DE593D" w:rsidRPr="00343D31" w:rsidRDefault="00DE593D" w:rsidP="00DE593D">
      <w:pPr>
        <w:shd w:val="clear" w:color="auto" w:fill="99CCFF"/>
        <w:jc w:val="both"/>
        <w:rPr>
          <w:rFonts w:ascii="Calibri" w:hAnsi="Calibri" w:cs="Tahoma"/>
          <w:b/>
          <w:sz w:val="20"/>
          <w:szCs w:val="20"/>
          <w:lang w:val="hr-HR"/>
        </w:rPr>
      </w:pPr>
      <w:r w:rsidRPr="00343D31">
        <w:rPr>
          <w:rFonts w:ascii="Calibri" w:hAnsi="Calibri" w:cs="Tahoma"/>
          <w:b/>
          <w:sz w:val="20"/>
          <w:szCs w:val="20"/>
          <w:lang w:val="hr-HR"/>
        </w:rPr>
        <w:t>B Uvjeti za pristup</w:t>
      </w:r>
    </w:p>
    <w:p w14:paraId="2484EA4A" w14:textId="77777777" w:rsidR="00DE593D" w:rsidRPr="00343D31" w:rsidRDefault="00DE593D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1A1CCC5C" w14:textId="77777777" w:rsidR="00DE593D" w:rsidRPr="00343D31" w:rsidRDefault="00DE593D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343D31">
        <w:rPr>
          <w:rFonts w:ascii="Calibri" w:hAnsi="Calibri" w:cs="Tahoma"/>
          <w:sz w:val="20"/>
          <w:szCs w:val="20"/>
          <w:lang w:val="hr-HR"/>
        </w:rPr>
        <w:t>Kandidati/kandidatkinje moraju zadovoljavati sljedeće uvjete:</w:t>
      </w:r>
    </w:p>
    <w:p w14:paraId="5DD8B718" w14:textId="77777777" w:rsidR="00DE593D" w:rsidRPr="00343D31" w:rsidRDefault="00DE593D" w:rsidP="00DE593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Tahoma"/>
          <w:sz w:val="20"/>
          <w:szCs w:val="20"/>
          <w:lang w:val="hr-HR"/>
        </w:rPr>
      </w:pPr>
      <w:r w:rsidRPr="00343D31">
        <w:rPr>
          <w:rFonts w:ascii="Calibri" w:hAnsi="Calibri" w:cs="Tahoma"/>
          <w:sz w:val="20"/>
          <w:szCs w:val="20"/>
          <w:lang w:val="hr-HR"/>
        </w:rPr>
        <w:t>Biti članovi nastavnog (osobe u znanstveno-nastavnim zvanjima te u suradničkim zvanjima asistenata kao i znanstveni novaci koji su uključeni u izvedbu nastave) i nenastavnog osoblja Sveučilišta u Rijeci;</w:t>
      </w:r>
    </w:p>
    <w:p w14:paraId="5DF4ED1B" w14:textId="77777777" w:rsidR="00DE593D" w:rsidRPr="00343D31" w:rsidRDefault="00DE593D" w:rsidP="00DE593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Tahoma"/>
          <w:sz w:val="20"/>
          <w:szCs w:val="20"/>
          <w:lang w:val="hr-HR"/>
        </w:rPr>
      </w:pPr>
      <w:r w:rsidRPr="00343D31">
        <w:rPr>
          <w:rFonts w:ascii="Calibri" w:hAnsi="Calibri" w:cs="Tahoma"/>
          <w:sz w:val="20"/>
          <w:szCs w:val="20"/>
          <w:lang w:val="hr-HR"/>
        </w:rPr>
        <w:t>Imati suglasnog neposrednog rukovoditelja o odsustvu kandidata/kandidatkinje s radnog mjesta;</w:t>
      </w:r>
    </w:p>
    <w:p w14:paraId="18391966" w14:textId="77777777" w:rsidR="00DE593D" w:rsidRPr="00343D31" w:rsidRDefault="00DE593D" w:rsidP="00DE593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Tahoma"/>
          <w:sz w:val="20"/>
          <w:szCs w:val="20"/>
          <w:lang w:val="hr-HR"/>
        </w:rPr>
      </w:pPr>
      <w:r w:rsidRPr="00343D31">
        <w:rPr>
          <w:rFonts w:ascii="Calibri" w:hAnsi="Calibri" w:cs="Tahoma"/>
          <w:sz w:val="20"/>
          <w:szCs w:val="20"/>
          <w:lang w:val="hr-HR"/>
        </w:rPr>
        <w:t>Imati zadovoljavajuće znanje stranog jezika na kojem će održavati nastavu/stručno se usavršavati.</w:t>
      </w:r>
    </w:p>
    <w:p w14:paraId="619029CE" w14:textId="77777777" w:rsidR="00DE593D" w:rsidRPr="00343D31" w:rsidRDefault="00DE593D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72A0B62C" w14:textId="77777777" w:rsidR="00DE593D" w:rsidRPr="00343D31" w:rsidRDefault="00DE593D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1A79BD3C" w14:textId="77777777" w:rsidR="00DE593D" w:rsidRPr="00343D31" w:rsidRDefault="00DE593D" w:rsidP="00DE593D">
      <w:pPr>
        <w:shd w:val="clear" w:color="auto" w:fill="99CCFF"/>
        <w:jc w:val="both"/>
        <w:rPr>
          <w:rFonts w:ascii="Calibri" w:hAnsi="Calibri" w:cs="Tahoma"/>
          <w:b/>
          <w:sz w:val="20"/>
          <w:szCs w:val="20"/>
          <w:lang w:val="hr-HR"/>
        </w:rPr>
      </w:pPr>
      <w:r w:rsidRPr="00343D31">
        <w:rPr>
          <w:rFonts w:ascii="Calibri" w:hAnsi="Calibri" w:cs="Tahoma"/>
          <w:b/>
          <w:sz w:val="20"/>
          <w:szCs w:val="20"/>
          <w:lang w:val="hr-HR"/>
        </w:rPr>
        <w:t>C Kriteriji za izbor kandidata/kandidatkinja</w:t>
      </w:r>
    </w:p>
    <w:p w14:paraId="4B5D5507" w14:textId="77777777" w:rsidR="00DE593D" w:rsidRPr="00343D31" w:rsidRDefault="00DE593D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2B5A7A4C" w14:textId="77777777" w:rsidR="00DA4AB7" w:rsidRPr="00DA4AB7" w:rsidRDefault="00DA4AB7" w:rsidP="00DA4AB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Tahoma"/>
          <w:sz w:val="20"/>
          <w:szCs w:val="20"/>
          <w:lang w:val="hr-HR"/>
        </w:rPr>
      </w:pPr>
      <w:r w:rsidRPr="00DA4AB7">
        <w:rPr>
          <w:rFonts w:ascii="Calibri" w:hAnsi="Calibri" w:cs="Tahoma"/>
          <w:sz w:val="20"/>
          <w:szCs w:val="20"/>
          <w:lang w:val="hr-HR"/>
        </w:rPr>
        <w:t xml:space="preserve">Uredna i pravovremena prijava (potpuno i ispravno ispunjen prijavni obrazac; dostavljena kompletna Natječajem zatražena dokumentacija; </w:t>
      </w:r>
    </w:p>
    <w:p w14:paraId="7EBF277C" w14:textId="77777777" w:rsidR="00DE593D" w:rsidRPr="00343D31" w:rsidRDefault="00DE593D" w:rsidP="00DE593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Tahoma"/>
          <w:sz w:val="20"/>
          <w:szCs w:val="20"/>
          <w:lang w:val="hr-HR"/>
        </w:rPr>
      </w:pPr>
      <w:r w:rsidRPr="00343D31">
        <w:rPr>
          <w:rFonts w:ascii="Calibri" w:hAnsi="Calibri" w:cs="Tahoma"/>
          <w:sz w:val="20"/>
          <w:szCs w:val="20"/>
          <w:lang w:val="hr-HR"/>
        </w:rPr>
        <w:t>Kvaliteta i sadržaj nastavnog plana/plana rada (dužina boravka u skladu s opsegom aktivnosti koje će se provesti, način diseminacije iskustva po povratku na Sveučilište, korist za daljnji rad na matičnoj ustanovi);</w:t>
      </w:r>
    </w:p>
    <w:p w14:paraId="065AC0C7" w14:textId="77777777" w:rsidR="00DE593D" w:rsidRPr="00343D31" w:rsidRDefault="00DE593D" w:rsidP="00DE593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Tahoma"/>
          <w:sz w:val="20"/>
          <w:szCs w:val="20"/>
          <w:lang w:val="hr-HR"/>
        </w:rPr>
      </w:pPr>
      <w:r w:rsidRPr="00343D31">
        <w:rPr>
          <w:rFonts w:ascii="Calibri" w:hAnsi="Calibri" w:cs="Tahoma"/>
          <w:sz w:val="20"/>
          <w:szCs w:val="20"/>
          <w:lang w:val="hr-HR"/>
        </w:rPr>
        <w:t xml:space="preserve">Znanje </w:t>
      </w:r>
      <w:r w:rsidRPr="00343D31">
        <w:rPr>
          <w:rFonts w:ascii="Calibri" w:hAnsi="Calibri" w:cs="Tahoma"/>
          <w:color w:val="000000"/>
          <w:sz w:val="20"/>
          <w:szCs w:val="20"/>
          <w:lang w:val="hr-HR"/>
        </w:rPr>
        <w:t>j</w:t>
      </w:r>
      <w:r w:rsidRPr="00343D31">
        <w:rPr>
          <w:rFonts w:ascii="Calibri" w:hAnsi="Calibri" w:cs="Tahoma"/>
          <w:sz w:val="20"/>
          <w:szCs w:val="20"/>
          <w:lang w:val="hr-HR"/>
        </w:rPr>
        <w:t>ezika stručnog usavršavanja odnosno jezika na kojem će se izvoditi nastava;</w:t>
      </w:r>
    </w:p>
    <w:p w14:paraId="62A2482A" w14:textId="77777777" w:rsidR="00DE593D" w:rsidRPr="00343D31" w:rsidRDefault="00DE593D" w:rsidP="00DE593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Tahoma"/>
          <w:sz w:val="20"/>
          <w:szCs w:val="20"/>
          <w:lang w:val="hr-HR"/>
        </w:rPr>
      </w:pPr>
      <w:r w:rsidRPr="00343D31">
        <w:rPr>
          <w:rFonts w:ascii="Calibri" w:hAnsi="Calibri" w:cs="Tahoma"/>
          <w:sz w:val="20"/>
          <w:szCs w:val="20"/>
          <w:lang w:val="hr-HR"/>
        </w:rPr>
        <w:t>Prednost će se dati kandidatima/kandidatkinjama koji do sada nisu sudjelovali u Erasmus programu.</w:t>
      </w:r>
    </w:p>
    <w:p w14:paraId="06B7641B" w14:textId="77777777" w:rsidR="00DE593D" w:rsidRPr="00343D31" w:rsidRDefault="00DE593D" w:rsidP="00DE593D">
      <w:pPr>
        <w:ind w:left="720"/>
        <w:jc w:val="both"/>
        <w:rPr>
          <w:rFonts w:ascii="Calibri" w:hAnsi="Calibri" w:cs="Tahoma"/>
          <w:sz w:val="20"/>
          <w:szCs w:val="20"/>
          <w:lang w:val="hr-HR"/>
        </w:rPr>
      </w:pPr>
    </w:p>
    <w:p w14:paraId="4488020D" w14:textId="77777777" w:rsidR="00DE593D" w:rsidRPr="00343D31" w:rsidRDefault="00DE593D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343D31">
        <w:rPr>
          <w:rFonts w:ascii="Calibri" w:hAnsi="Calibri" w:cs="Tahoma"/>
          <w:sz w:val="20"/>
          <w:szCs w:val="20"/>
          <w:lang w:val="hr-HR"/>
        </w:rPr>
        <w:lastRenderedPageBreak/>
        <w:t>Detaljnije obrazloženje kriterija za izbor nastavnog/nenastavnog osoblja objavljeno je uz tekst Natječaja u dokumentu Smjernice za izbor nastavnog/nenastavnog osoblja u okviru Erasmus natječaja, koje je predložilo Sveučilišno Povjerenstvo za Erasmus program Sveučilišta u Rijeci.</w:t>
      </w:r>
    </w:p>
    <w:p w14:paraId="581C7356" w14:textId="7F1633D5" w:rsidR="00DE593D" w:rsidRDefault="00DE593D" w:rsidP="00DE593D">
      <w:pPr>
        <w:ind w:left="708"/>
        <w:jc w:val="both"/>
        <w:rPr>
          <w:rFonts w:ascii="Calibri" w:hAnsi="Calibri" w:cs="Tahoma"/>
          <w:sz w:val="20"/>
          <w:szCs w:val="20"/>
          <w:lang w:val="hr-HR"/>
        </w:rPr>
      </w:pPr>
    </w:p>
    <w:p w14:paraId="11CF7701" w14:textId="77777777" w:rsidR="00EB5D54" w:rsidRPr="00343D31" w:rsidRDefault="00EB5D54" w:rsidP="00DE593D">
      <w:pPr>
        <w:ind w:left="708"/>
        <w:jc w:val="both"/>
        <w:rPr>
          <w:rFonts w:ascii="Calibri" w:hAnsi="Calibri" w:cs="Tahoma"/>
          <w:sz w:val="20"/>
          <w:szCs w:val="20"/>
          <w:lang w:val="hr-HR"/>
        </w:rPr>
      </w:pPr>
    </w:p>
    <w:p w14:paraId="56819563" w14:textId="77777777" w:rsidR="00DE593D" w:rsidRPr="00343D31" w:rsidRDefault="00DE593D" w:rsidP="00DE593D">
      <w:pPr>
        <w:shd w:val="clear" w:color="auto" w:fill="99CCFF"/>
        <w:jc w:val="both"/>
        <w:rPr>
          <w:rFonts w:ascii="Calibri" w:hAnsi="Calibri" w:cs="Tahoma"/>
          <w:b/>
          <w:sz w:val="20"/>
          <w:szCs w:val="20"/>
          <w:lang w:val="hr-HR"/>
        </w:rPr>
      </w:pPr>
      <w:r w:rsidRPr="00343D31">
        <w:rPr>
          <w:rFonts w:ascii="Calibri" w:hAnsi="Calibri" w:cs="Tahoma"/>
          <w:b/>
          <w:sz w:val="20"/>
          <w:szCs w:val="20"/>
          <w:lang w:val="hr-HR"/>
        </w:rPr>
        <w:t>D Postupak prijave</w:t>
      </w:r>
    </w:p>
    <w:p w14:paraId="0CF7875E" w14:textId="3F3CD064" w:rsidR="00DE593D" w:rsidRPr="00343D31" w:rsidRDefault="00DE593D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7302F6BF" w14:textId="20B46861" w:rsidR="00082051" w:rsidRPr="001D0393" w:rsidRDefault="00082051" w:rsidP="00082051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1D0393">
        <w:rPr>
          <w:rFonts w:ascii="Calibri" w:hAnsi="Calibri" w:cs="Tahoma"/>
          <w:sz w:val="20"/>
          <w:szCs w:val="20"/>
          <w:lang w:val="hr-HR"/>
        </w:rPr>
        <w:t xml:space="preserve">Natječaj će biti otvoren </w:t>
      </w:r>
      <w:r w:rsidRPr="001D0393">
        <w:rPr>
          <w:rFonts w:ascii="Calibri" w:hAnsi="Calibri" w:cs="Tahoma"/>
          <w:b/>
          <w:sz w:val="20"/>
          <w:szCs w:val="20"/>
          <w:lang w:val="hr-HR"/>
        </w:rPr>
        <w:t xml:space="preserve">do iscrpljenja raspoloživih sredstava, a </w:t>
      </w:r>
      <w:r w:rsidRPr="00082051">
        <w:rPr>
          <w:rFonts w:ascii="Calibri" w:hAnsi="Calibri" w:cs="Tahoma"/>
          <w:b/>
          <w:sz w:val="20"/>
          <w:szCs w:val="20"/>
          <w:lang w:val="hr-HR"/>
        </w:rPr>
        <w:t>najkasnije do 1. ožujka 202</w:t>
      </w:r>
      <w:r w:rsidR="002E330F">
        <w:rPr>
          <w:rFonts w:ascii="Calibri" w:hAnsi="Calibri" w:cs="Tahoma"/>
          <w:b/>
          <w:sz w:val="20"/>
          <w:szCs w:val="20"/>
          <w:lang w:val="hr-HR"/>
        </w:rPr>
        <w:t>5</w:t>
      </w:r>
      <w:r w:rsidRPr="00082051">
        <w:rPr>
          <w:rFonts w:ascii="Calibri" w:hAnsi="Calibri" w:cs="Tahoma"/>
          <w:b/>
          <w:sz w:val="20"/>
          <w:szCs w:val="20"/>
          <w:lang w:val="hr-HR"/>
        </w:rPr>
        <w:t>. godine</w:t>
      </w:r>
      <w:r w:rsidRPr="00082051">
        <w:rPr>
          <w:rFonts w:ascii="Calibri" w:hAnsi="Calibri" w:cs="Tahoma"/>
          <w:sz w:val="20"/>
          <w:szCs w:val="20"/>
          <w:lang w:val="hr-HR"/>
        </w:rPr>
        <w:t xml:space="preserve">. </w:t>
      </w:r>
    </w:p>
    <w:p w14:paraId="53C0ECA8" w14:textId="77777777" w:rsidR="00082051" w:rsidRPr="00F3457F" w:rsidRDefault="00082051" w:rsidP="00082051">
      <w:pPr>
        <w:jc w:val="both"/>
        <w:rPr>
          <w:rFonts w:ascii="Calibri" w:hAnsi="Calibri" w:cs="Tahoma"/>
          <w:sz w:val="20"/>
          <w:szCs w:val="20"/>
          <w:highlight w:val="cyan"/>
          <w:lang w:val="hr-HR"/>
        </w:rPr>
      </w:pPr>
    </w:p>
    <w:p w14:paraId="2B43B8D5" w14:textId="5C190685" w:rsidR="00082051" w:rsidRPr="001D0393" w:rsidRDefault="00082051" w:rsidP="00082051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1D0393">
        <w:rPr>
          <w:rFonts w:ascii="Calibri" w:hAnsi="Calibri" w:cs="Tahoma"/>
          <w:sz w:val="20"/>
          <w:szCs w:val="20"/>
          <w:lang w:val="hr-HR"/>
        </w:rPr>
        <w:t xml:space="preserve">Sve uredne prijave koje prođu administrativnu provjeru odmah će se uzimati u obzir. Sveučilište u Rijeci će sa </w:t>
      </w:r>
      <w:r>
        <w:rPr>
          <w:rFonts w:ascii="Calibri" w:hAnsi="Calibri" w:cs="Tahoma"/>
          <w:sz w:val="20"/>
          <w:szCs w:val="20"/>
          <w:lang w:val="hr-HR"/>
        </w:rPr>
        <w:t>kandidatima</w:t>
      </w:r>
      <w:r w:rsidRPr="001D0393">
        <w:rPr>
          <w:rFonts w:ascii="Calibri" w:hAnsi="Calibri" w:cs="Tahoma"/>
          <w:sz w:val="20"/>
          <w:szCs w:val="20"/>
          <w:lang w:val="hr-HR"/>
        </w:rPr>
        <w:t xml:space="preserve"> koji udovoljavaju uvjetima natječaja po potvrdi Povjerenstva sklapati ugovore o dodjeli financijske potpore. Nepotpune i nepravodobno podnesene prijave neće se razmatrati.</w:t>
      </w:r>
    </w:p>
    <w:p w14:paraId="60168803" w14:textId="77777777" w:rsidR="00082051" w:rsidRPr="001D0393" w:rsidRDefault="00082051" w:rsidP="00082051">
      <w:pPr>
        <w:pStyle w:val="Default"/>
        <w:jc w:val="both"/>
        <w:rPr>
          <w:rFonts w:cs="Tahoma"/>
          <w:color w:val="auto"/>
          <w:sz w:val="20"/>
          <w:szCs w:val="20"/>
          <w:lang w:val="hr-HR"/>
        </w:rPr>
      </w:pPr>
    </w:p>
    <w:p w14:paraId="5B6CC39D" w14:textId="65E50558" w:rsidR="00082051" w:rsidRPr="006F2700" w:rsidRDefault="00082051" w:rsidP="00082051">
      <w:pPr>
        <w:pStyle w:val="Default"/>
        <w:jc w:val="both"/>
        <w:rPr>
          <w:rFonts w:cs="Tahoma"/>
          <w:sz w:val="20"/>
          <w:szCs w:val="20"/>
          <w:lang w:val="hr-HR"/>
        </w:rPr>
      </w:pPr>
      <w:r w:rsidRPr="001D0393">
        <w:rPr>
          <w:rFonts w:cs="Tahoma"/>
          <w:color w:val="auto"/>
          <w:sz w:val="20"/>
          <w:szCs w:val="20"/>
          <w:lang w:val="hr-HR"/>
        </w:rPr>
        <w:t xml:space="preserve">Obzirom na proceduru sklapanja ugovora o dodjeli financijske potpore, </w:t>
      </w:r>
      <w:r>
        <w:rPr>
          <w:rFonts w:cs="Tahoma"/>
          <w:color w:val="auto"/>
          <w:sz w:val="20"/>
          <w:szCs w:val="20"/>
          <w:lang w:val="hr-HR"/>
        </w:rPr>
        <w:t>kandidati</w:t>
      </w:r>
      <w:r w:rsidRPr="001D0393">
        <w:rPr>
          <w:rFonts w:cs="Tahoma"/>
          <w:color w:val="auto"/>
          <w:sz w:val="20"/>
          <w:szCs w:val="20"/>
          <w:lang w:val="hr-HR"/>
        </w:rPr>
        <w:t xml:space="preserve"> su dužni prijaviti se na natječaj najmanje 30 dana prije početka </w:t>
      </w:r>
      <w:r>
        <w:rPr>
          <w:rFonts w:cs="Tahoma"/>
          <w:color w:val="auto"/>
          <w:sz w:val="20"/>
          <w:szCs w:val="20"/>
          <w:lang w:val="hr-HR"/>
        </w:rPr>
        <w:t>mobilnosti</w:t>
      </w:r>
      <w:r w:rsidRPr="001D0393">
        <w:rPr>
          <w:rFonts w:cs="Tahoma"/>
          <w:color w:val="auto"/>
          <w:sz w:val="20"/>
          <w:szCs w:val="20"/>
          <w:lang w:val="hr-HR"/>
        </w:rPr>
        <w:t xml:space="preserve">. Također, </w:t>
      </w:r>
      <w:r>
        <w:rPr>
          <w:rFonts w:cs="Tahoma"/>
          <w:color w:val="auto"/>
          <w:sz w:val="20"/>
          <w:szCs w:val="20"/>
          <w:lang w:val="hr-HR"/>
        </w:rPr>
        <w:t>kandidati</w:t>
      </w:r>
      <w:r w:rsidRPr="001D0393">
        <w:rPr>
          <w:rFonts w:cs="Tahoma"/>
          <w:color w:val="auto"/>
          <w:sz w:val="20"/>
          <w:szCs w:val="20"/>
          <w:lang w:val="hr-HR"/>
        </w:rPr>
        <w:t xml:space="preserve"> su nakon podnošenja prijave dužni o istom izvijestiti </w:t>
      </w:r>
      <w:r>
        <w:rPr>
          <w:rFonts w:cs="Tahoma"/>
          <w:color w:val="auto"/>
          <w:sz w:val="20"/>
          <w:szCs w:val="20"/>
          <w:lang w:val="hr-HR"/>
        </w:rPr>
        <w:t>Centar</w:t>
      </w:r>
      <w:r w:rsidRPr="001D0393">
        <w:rPr>
          <w:rFonts w:cs="Tahoma"/>
          <w:color w:val="auto"/>
          <w:sz w:val="20"/>
          <w:szCs w:val="20"/>
          <w:lang w:val="hr-HR"/>
        </w:rPr>
        <w:t xml:space="preserve"> za međunarodnu mobilnost</w:t>
      </w:r>
      <w:r w:rsidR="004106AB">
        <w:rPr>
          <w:rFonts w:cs="Tahoma"/>
          <w:color w:val="auto"/>
          <w:sz w:val="20"/>
          <w:szCs w:val="20"/>
          <w:lang w:val="hr-HR"/>
        </w:rPr>
        <w:t>.</w:t>
      </w:r>
    </w:p>
    <w:p w14:paraId="7C5D9528" w14:textId="77777777" w:rsidR="00082051" w:rsidRPr="00343D31" w:rsidRDefault="00082051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1AE24253" w14:textId="77777777" w:rsidR="00DE593D" w:rsidRPr="00343D31" w:rsidRDefault="00DE593D" w:rsidP="00DE593D">
      <w:pPr>
        <w:ind w:left="705" w:hanging="345"/>
        <w:jc w:val="both"/>
        <w:rPr>
          <w:rFonts w:ascii="Calibri" w:hAnsi="Calibri" w:cs="Tahoma"/>
          <w:sz w:val="20"/>
          <w:szCs w:val="20"/>
          <w:lang w:val="hr-HR"/>
        </w:rPr>
      </w:pPr>
    </w:p>
    <w:p w14:paraId="751720C6" w14:textId="48262F6D" w:rsidR="00DE593D" w:rsidRPr="00343D31" w:rsidRDefault="00DE593D" w:rsidP="00DE593D">
      <w:pPr>
        <w:shd w:val="clear" w:color="auto" w:fill="99CCFF"/>
        <w:jc w:val="both"/>
        <w:rPr>
          <w:rFonts w:ascii="Calibri" w:hAnsi="Calibri" w:cs="Tahoma"/>
          <w:b/>
          <w:sz w:val="20"/>
          <w:szCs w:val="20"/>
          <w:lang w:val="hr-HR"/>
        </w:rPr>
      </w:pPr>
      <w:r w:rsidRPr="00343D31">
        <w:rPr>
          <w:rFonts w:ascii="Calibri" w:hAnsi="Calibri" w:cs="Tahoma"/>
          <w:b/>
          <w:sz w:val="20"/>
          <w:szCs w:val="20"/>
          <w:lang w:val="hr-HR"/>
        </w:rPr>
        <w:t>E Postupak izbora kandidata</w:t>
      </w:r>
      <w:r w:rsidR="003431BD" w:rsidRPr="00343D31">
        <w:rPr>
          <w:rFonts w:ascii="Calibri" w:hAnsi="Calibri" w:cs="Tahoma"/>
          <w:b/>
          <w:sz w:val="20"/>
          <w:szCs w:val="20"/>
          <w:lang w:val="hr-HR"/>
        </w:rPr>
        <w:t>/kandidatkinja</w:t>
      </w:r>
    </w:p>
    <w:p w14:paraId="135135BB" w14:textId="77777777" w:rsidR="00DE593D" w:rsidRPr="00343D31" w:rsidRDefault="00DE593D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2D870CB1" w14:textId="77777777" w:rsidR="00DE593D" w:rsidRPr="00343D31" w:rsidRDefault="00DE593D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343D31">
        <w:rPr>
          <w:rFonts w:ascii="Calibri" w:hAnsi="Calibri" w:cs="Tahoma"/>
          <w:sz w:val="20"/>
          <w:szCs w:val="20"/>
          <w:lang w:val="hr-HR"/>
        </w:rPr>
        <w:t>Postupak izbora odvija se u tri kruga:</w:t>
      </w:r>
    </w:p>
    <w:p w14:paraId="30FEC043" w14:textId="77777777" w:rsidR="00DE593D" w:rsidRPr="00343D31" w:rsidRDefault="00DE593D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343D31">
        <w:rPr>
          <w:rFonts w:ascii="Calibri" w:hAnsi="Calibri" w:cs="Tahoma"/>
          <w:sz w:val="20"/>
          <w:szCs w:val="20"/>
          <w:lang w:val="hr-HR"/>
        </w:rPr>
        <w:t>1. krug - administrativna provjera prijava;</w:t>
      </w:r>
    </w:p>
    <w:p w14:paraId="38229BA3" w14:textId="77777777" w:rsidR="00DE593D" w:rsidRPr="00343D31" w:rsidRDefault="00DE593D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343D31">
        <w:rPr>
          <w:rFonts w:ascii="Calibri" w:hAnsi="Calibri" w:cs="Tahoma"/>
          <w:sz w:val="20"/>
          <w:szCs w:val="20"/>
          <w:lang w:val="hr-HR"/>
        </w:rPr>
        <w:t>2. krug - evaluacija nastavnog plana/plana rada;</w:t>
      </w:r>
    </w:p>
    <w:p w14:paraId="22B99921" w14:textId="77777777" w:rsidR="00DE593D" w:rsidRPr="00343D31" w:rsidRDefault="00DE593D" w:rsidP="00DE593D">
      <w:pPr>
        <w:rPr>
          <w:rFonts w:ascii="Calibri" w:hAnsi="Calibri" w:cs="Tahoma"/>
          <w:sz w:val="20"/>
          <w:szCs w:val="20"/>
          <w:lang w:val="hr-HR"/>
        </w:rPr>
      </w:pPr>
      <w:r w:rsidRPr="00343D31">
        <w:rPr>
          <w:rFonts w:ascii="Calibri" w:hAnsi="Calibri" w:cs="Tahoma"/>
          <w:sz w:val="20"/>
          <w:szCs w:val="20"/>
          <w:lang w:val="hr-HR"/>
        </w:rPr>
        <w:t>3. krug - izbor kandidata/kandidatkinja za mobilnost od strane Povjerenstva za izbor kandidata.</w:t>
      </w:r>
    </w:p>
    <w:p w14:paraId="45344375" w14:textId="5F152852" w:rsidR="00DE593D" w:rsidRDefault="00DE593D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49B8AC27" w14:textId="77777777" w:rsidR="00EB5D54" w:rsidRPr="00343D31" w:rsidRDefault="00EB5D54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010CA963" w14:textId="77777777" w:rsidR="00DE593D" w:rsidRPr="00343D31" w:rsidRDefault="00DE593D" w:rsidP="00DE593D">
      <w:pPr>
        <w:shd w:val="clear" w:color="auto" w:fill="99CCFF"/>
        <w:jc w:val="both"/>
        <w:rPr>
          <w:rFonts w:ascii="Calibri" w:hAnsi="Calibri" w:cs="Tahoma"/>
          <w:b/>
          <w:sz w:val="20"/>
          <w:szCs w:val="20"/>
          <w:lang w:val="hr-HR"/>
        </w:rPr>
      </w:pPr>
      <w:r w:rsidRPr="00343D31">
        <w:rPr>
          <w:rFonts w:ascii="Calibri" w:hAnsi="Calibri" w:cs="Tahoma"/>
          <w:b/>
          <w:sz w:val="20"/>
          <w:szCs w:val="20"/>
          <w:lang w:val="hr-HR"/>
        </w:rPr>
        <w:t>F Objava rezultata Natječaja</w:t>
      </w:r>
    </w:p>
    <w:p w14:paraId="5DCAF22F" w14:textId="77777777" w:rsidR="00DE593D" w:rsidRPr="00343D31" w:rsidRDefault="00DE593D" w:rsidP="00DE593D">
      <w:pPr>
        <w:jc w:val="both"/>
        <w:rPr>
          <w:rStyle w:val="Strong"/>
          <w:rFonts w:ascii="Calibri" w:hAnsi="Calibri" w:cs="Tahoma"/>
          <w:b w:val="0"/>
          <w:sz w:val="20"/>
          <w:szCs w:val="20"/>
          <w:lang w:val="hr-HR"/>
        </w:rPr>
      </w:pPr>
    </w:p>
    <w:p w14:paraId="4DB9F042" w14:textId="5DA9CA64" w:rsidR="00DE593D" w:rsidRPr="00343D31" w:rsidRDefault="00DE593D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343D31">
        <w:rPr>
          <w:rStyle w:val="Strong"/>
          <w:rFonts w:ascii="Calibri" w:hAnsi="Calibri" w:cs="Tahoma"/>
          <w:b w:val="0"/>
          <w:sz w:val="20"/>
          <w:szCs w:val="20"/>
          <w:lang w:val="hr-HR"/>
        </w:rPr>
        <w:t xml:space="preserve">Konačni rezultati Natječaja </w:t>
      </w:r>
      <w:r w:rsidRPr="00343D31">
        <w:rPr>
          <w:rFonts w:ascii="Calibri" w:hAnsi="Calibri" w:cs="Tahoma"/>
          <w:sz w:val="20"/>
          <w:szCs w:val="20"/>
          <w:lang w:val="hr-HR"/>
        </w:rPr>
        <w:t>objavit će se na mrežnim stranicama </w:t>
      </w:r>
      <w:r w:rsidR="001812D3">
        <w:rPr>
          <w:rFonts w:ascii="Calibri" w:hAnsi="Calibri" w:cs="Tahoma"/>
          <w:sz w:val="20"/>
          <w:szCs w:val="20"/>
          <w:lang w:val="hr-HR"/>
        </w:rPr>
        <w:t>Fakulteta zdravstvenih studija u Rijeci</w:t>
      </w:r>
      <w:r w:rsidRPr="00343D31">
        <w:rPr>
          <w:rFonts w:ascii="Calibri" w:hAnsi="Calibri" w:cs="Tahoma"/>
          <w:color w:val="FF0000"/>
          <w:sz w:val="20"/>
          <w:szCs w:val="20"/>
          <w:lang w:val="hr-HR"/>
        </w:rPr>
        <w:t xml:space="preserve"> </w:t>
      </w:r>
      <w:r w:rsidRPr="00343D31">
        <w:rPr>
          <w:rFonts w:ascii="Calibri" w:hAnsi="Calibri" w:cs="Tahoma"/>
          <w:sz w:val="20"/>
          <w:szCs w:val="20"/>
          <w:lang w:val="hr-HR"/>
        </w:rPr>
        <w:t>(</w:t>
      </w:r>
      <w:hyperlink r:id="rId10" w:history="1">
        <w:r w:rsidR="001812D3" w:rsidRPr="000163E1">
          <w:rPr>
            <w:rStyle w:val="Hyperlink"/>
            <w:rFonts w:ascii="Calibri" w:hAnsi="Calibri" w:cs="Tahoma"/>
            <w:sz w:val="20"/>
            <w:szCs w:val="20"/>
            <w:lang w:val="hr-HR"/>
          </w:rPr>
          <w:t>www.fzsri.uniri.hr</w:t>
        </w:r>
      </w:hyperlink>
      <w:r w:rsidRPr="00343D31">
        <w:rPr>
          <w:rFonts w:ascii="Calibri" w:hAnsi="Calibri" w:cs="Tahoma"/>
          <w:sz w:val="20"/>
          <w:szCs w:val="20"/>
          <w:lang w:val="hr-HR"/>
        </w:rPr>
        <w:t xml:space="preserve">, pod kategorijom Međunarodna suradnja </w:t>
      </w:r>
      <w:r w:rsidR="00D0474E" w:rsidRPr="00343D31">
        <w:rPr>
          <w:rFonts w:ascii="Calibri" w:hAnsi="Calibri" w:cs="Tahoma"/>
          <w:sz w:val="20"/>
          <w:szCs w:val="20"/>
          <w:lang w:val="hr-HR"/>
        </w:rPr>
        <w:t>i</w:t>
      </w:r>
      <w:r w:rsidR="00EA036D">
        <w:rPr>
          <w:rFonts w:ascii="Calibri" w:hAnsi="Calibri" w:cs="Tahoma"/>
          <w:sz w:val="20"/>
          <w:szCs w:val="20"/>
          <w:lang w:val="hr-HR"/>
        </w:rPr>
        <w:t xml:space="preserve"> Erasmus).</w:t>
      </w:r>
      <w:r w:rsidRPr="00343D31">
        <w:rPr>
          <w:rFonts w:ascii="Calibri" w:hAnsi="Calibri" w:cs="Tahoma"/>
          <w:sz w:val="20"/>
          <w:szCs w:val="20"/>
          <w:lang w:val="hr-HR"/>
        </w:rPr>
        <w:t xml:space="preserve"> </w:t>
      </w:r>
    </w:p>
    <w:p w14:paraId="7142EA97" w14:textId="77777777" w:rsidR="00DE593D" w:rsidRPr="00343D31" w:rsidRDefault="00DE593D" w:rsidP="00DE593D">
      <w:pPr>
        <w:jc w:val="both"/>
        <w:rPr>
          <w:rFonts w:ascii="Calibri" w:hAnsi="Calibri" w:cs="Tahoma"/>
          <w:color w:val="FF0000"/>
          <w:sz w:val="20"/>
          <w:szCs w:val="20"/>
          <w:lang w:val="hr-HR"/>
        </w:rPr>
      </w:pPr>
    </w:p>
    <w:p w14:paraId="2F2EA229" w14:textId="77777777" w:rsidR="00DE593D" w:rsidRPr="00343D31" w:rsidRDefault="00DE593D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343D31">
        <w:rPr>
          <w:rFonts w:ascii="Calibri" w:hAnsi="Calibri" w:cs="Tahoma"/>
          <w:sz w:val="20"/>
          <w:szCs w:val="20"/>
          <w:lang w:val="hr-HR"/>
        </w:rPr>
        <w:t>Odbijeni kandidati/kandidatkinje bit će o razlozima odbijanja obaviješteni pismenim putem.</w:t>
      </w:r>
    </w:p>
    <w:p w14:paraId="2B0FC9C0" w14:textId="77777777" w:rsidR="00DE593D" w:rsidRPr="00343D31" w:rsidRDefault="00DE593D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17BB8FD6" w14:textId="77777777" w:rsidR="00DE593D" w:rsidRPr="00343D31" w:rsidRDefault="00DE593D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343D31">
        <w:rPr>
          <w:rFonts w:ascii="Calibri" w:hAnsi="Calibri" w:cs="Tahoma"/>
          <w:sz w:val="20"/>
          <w:szCs w:val="20"/>
          <w:lang w:val="hr-HR"/>
        </w:rPr>
        <w:t>Prijavom na Natječaj kandidati/kandidatkinje pristaju da se njihovo ime objavi na popisu izabranih/odbijenih kandidata ili na listi čekanja.</w:t>
      </w:r>
    </w:p>
    <w:p w14:paraId="1189CA5B" w14:textId="77777777" w:rsidR="00DE593D" w:rsidRPr="00343D31" w:rsidRDefault="00DE593D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6E24AEB7" w14:textId="77777777" w:rsidR="00DE593D" w:rsidRPr="00343D31" w:rsidRDefault="00DE593D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104FA263" w14:textId="77777777" w:rsidR="00DE593D" w:rsidRPr="00343D31" w:rsidRDefault="00DE593D" w:rsidP="00DE593D">
      <w:pPr>
        <w:shd w:val="clear" w:color="auto" w:fill="99CCFF"/>
        <w:jc w:val="both"/>
        <w:rPr>
          <w:rFonts w:ascii="Calibri" w:hAnsi="Calibri" w:cs="Tahoma"/>
          <w:b/>
          <w:sz w:val="20"/>
          <w:szCs w:val="20"/>
          <w:lang w:val="hr-HR"/>
        </w:rPr>
      </w:pPr>
      <w:r w:rsidRPr="00343D31">
        <w:rPr>
          <w:rFonts w:ascii="Calibri" w:hAnsi="Calibri" w:cs="Tahoma"/>
          <w:b/>
          <w:sz w:val="20"/>
          <w:szCs w:val="20"/>
          <w:lang w:val="hr-HR"/>
        </w:rPr>
        <w:t>G Financijska potpora</w:t>
      </w:r>
    </w:p>
    <w:p w14:paraId="5A1565D6" w14:textId="77777777" w:rsidR="00DE593D" w:rsidRPr="00343D31" w:rsidRDefault="00DE593D" w:rsidP="00DE593D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  <w:lang w:val="hr-HR"/>
        </w:rPr>
      </w:pPr>
    </w:p>
    <w:p w14:paraId="66920D4B" w14:textId="5E244A3F" w:rsidR="00343D31" w:rsidRPr="00343D31" w:rsidRDefault="001812D3" w:rsidP="00DE593D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  <w:lang w:val="hr-HR"/>
        </w:rPr>
      </w:pPr>
      <w:r>
        <w:rPr>
          <w:rFonts w:ascii="Calibri" w:hAnsi="Calibri" w:cs="Tahoma"/>
          <w:sz w:val="20"/>
          <w:szCs w:val="20"/>
          <w:lang w:val="hr-HR"/>
        </w:rPr>
        <w:t xml:space="preserve">Dnevni iznos potpore iznosi </w:t>
      </w:r>
      <w:r w:rsidRPr="001812D3">
        <w:rPr>
          <w:rFonts w:ascii="Calibri" w:hAnsi="Calibri" w:cs="Tahoma"/>
          <w:sz w:val="20"/>
          <w:szCs w:val="20"/>
          <w:lang w:val="hr-HR"/>
        </w:rPr>
        <w:t>180 eura dnevno od 1-14 dana, a od 15. 70 % od 180 eur</w:t>
      </w:r>
      <w:r>
        <w:rPr>
          <w:rFonts w:ascii="Calibri" w:hAnsi="Calibri" w:cs="Tahoma"/>
          <w:sz w:val="20"/>
          <w:szCs w:val="20"/>
          <w:lang w:val="hr-HR"/>
        </w:rPr>
        <w:t>a.</w:t>
      </w:r>
    </w:p>
    <w:p w14:paraId="32ACBFF4" w14:textId="4219A461" w:rsidR="003E6B8C" w:rsidRDefault="003E6B8C" w:rsidP="003E6B8C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  <w:lang w:val="hr-HR"/>
        </w:rPr>
      </w:pPr>
    </w:p>
    <w:p w14:paraId="13912C1B" w14:textId="10176662" w:rsidR="000040EA" w:rsidRPr="00542AA3" w:rsidRDefault="000040EA" w:rsidP="000040EA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542AA3">
        <w:rPr>
          <w:rFonts w:ascii="Calibri" w:hAnsi="Calibri" w:cs="Tahoma"/>
          <w:sz w:val="20"/>
          <w:szCs w:val="20"/>
          <w:lang w:val="hr-HR"/>
        </w:rPr>
        <w:t>P</w:t>
      </w:r>
      <w:r w:rsidR="00AC7151" w:rsidRPr="00542AA3">
        <w:rPr>
          <w:rFonts w:ascii="Calibri" w:hAnsi="Calibri" w:cs="Tahoma"/>
          <w:sz w:val="20"/>
          <w:szCs w:val="20"/>
          <w:lang w:val="hr-HR"/>
        </w:rPr>
        <w:t>UTNI TROŠKOVI I P</w:t>
      </w:r>
      <w:r w:rsidRPr="00542AA3">
        <w:rPr>
          <w:rFonts w:ascii="Calibri" w:hAnsi="Calibri" w:cs="Tahoma"/>
          <w:sz w:val="20"/>
          <w:szCs w:val="20"/>
          <w:lang w:val="hr-HR"/>
        </w:rPr>
        <w:t>OTICAJ ZA KORIŠTENJE ZELENOG NAČINA PUTOVANJA</w:t>
      </w:r>
    </w:p>
    <w:p w14:paraId="4355D6DC" w14:textId="471F3426" w:rsidR="000040EA" w:rsidRPr="00542AA3" w:rsidRDefault="000040EA" w:rsidP="000040EA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542AA3">
        <w:rPr>
          <w:rFonts w:ascii="Calibri" w:hAnsi="Calibri" w:cs="Tahoma"/>
          <w:sz w:val="20"/>
          <w:szCs w:val="20"/>
          <w:lang w:val="hr-HR"/>
        </w:rPr>
        <w:t xml:space="preserve">Osoblje koji koristi </w:t>
      </w:r>
      <w:r w:rsidRPr="00542AA3">
        <w:rPr>
          <w:rFonts w:ascii="Calibri" w:hAnsi="Calibri" w:cs="Tahoma"/>
          <w:color w:val="00B050"/>
          <w:sz w:val="20"/>
          <w:szCs w:val="20"/>
          <w:lang w:val="hr-HR"/>
        </w:rPr>
        <w:t xml:space="preserve">zeleni način putovanja tzv. </w:t>
      </w:r>
      <w:r w:rsidRPr="00542AA3">
        <w:rPr>
          <w:rFonts w:ascii="Calibri" w:hAnsi="Calibri" w:cs="Tahoma"/>
          <w:i/>
          <w:color w:val="00B050"/>
          <w:sz w:val="20"/>
          <w:szCs w:val="20"/>
          <w:lang w:val="hr-HR"/>
        </w:rPr>
        <w:t>green travel</w:t>
      </w:r>
      <w:r w:rsidRPr="00542AA3">
        <w:rPr>
          <w:color w:val="00B050"/>
        </w:rPr>
        <w:t xml:space="preserve"> </w:t>
      </w:r>
      <w:r w:rsidRPr="00542AA3">
        <w:rPr>
          <w:rFonts w:ascii="Calibri" w:hAnsi="Calibri" w:cs="Tahoma"/>
          <w:sz w:val="20"/>
          <w:szCs w:val="20"/>
          <w:lang w:val="hr-HR"/>
        </w:rPr>
        <w:t>(</w:t>
      </w:r>
      <w:r w:rsidR="00932A2C" w:rsidRPr="00034F40">
        <w:rPr>
          <w:rFonts w:ascii="Calibri" w:hAnsi="Calibri" w:cs="Tahoma"/>
          <w:sz w:val="20"/>
          <w:szCs w:val="20"/>
          <w:lang w:val="hr-HR"/>
        </w:rPr>
        <w:t xml:space="preserve">vlak, </w:t>
      </w:r>
      <w:r w:rsidR="00932A2C">
        <w:rPr>
          <w:rFonts w:ascii="Calibri" w:hAnsi="Calibri" w:cs="Tahoma"/>
          <w:sz w:val="20"/>
          <w:szCs w:val="20"/>
          <w:lang w:val="hr-HR"/>
        </w:rPr>
        <w:t>autobus, bicikl</w:t>
      </w:r>
      <w:r w:rsidR="00932A2C" w:rsidRPr="00034F40">
        <w:rPr>
          <w:rFonts w:ascii="Calibri" w:hAnsi="Calibri" w:cs="Tahoma"/>
          <w:sz w:val="20"/>
          <w:szCs w:val="20"/>
          <w:lang w:val="hr-HR"/>
        </w:rPr>
        <w:t xml:space="preserve">, </w:t>
      </w:r>
      <w:r w:rsidR="00932A2C" w:rsidRPr="00034F40">
        <w:rPr>
          <w:rFonts w:ascii="Calibri" w:hAnsi="Calibri" w:cs="Tahoma"/>
          <w:i/>
          <w:sz w:val="20"/>
          <w:szCs w:val="20"/>
          <w:lang w:val="hr-HR"/>
        </w:rPr>
        <w:t>car pooling</w:t>
      </w:r>
      <w:r w:rsidRPr="00542AA3">
        <w:rPr>
          <w:rFonts w:ascii="Calibri" w:hAnsi="Calibri" w:cs="Tahoma"/>
          <w:sz w:val="20"/>
          <w:szCs w:val="20"/>
          <w:lang w:val="hr-HR"/>
        </w:rPr>
        <w:t>) ima pravo na uvećani iznos financijske potpore za putovanje. U trenutku sklapanja ugovora o dodjeli financijske potpore sa Sveučilištem u Rijeci, definirat će se opcija zelenog načina putovanja te će sudionici biti obaviješteni o dokaznoj dokumentaciji koju trebaju priložiti u svrhu dokazivanja spomenutog načina putovanja.</w:t>
      </w:r>
    </w:p>
    <w:p w14:paraId="26D5E0A1" w14:textId="2ABFC36B" w:rsidR="00B03DB3" w:rsidRPr="00542AA3" w:rsidRDefault="00B03DB3" w:rsidP="00B03DB3">
      <w:pPr>
        <w:pStyle w:val="Default"/>
        <w:rPr>
          <w:rFonts w:cs="Tahoma"/>
          <w:color w:val="auto"/>
          <w:sz w:val="20"/>
          <w:szCs w:val="20"/>
          <w:lang w:val="hr-HR"/>
        </w:rPr>
      </w:pPr>
    </w:p>
    <w:p w14:paraId="10EBBB00" w14:textId="40188268" w:rsidR="009F7181" w:rsidRPr="00542AA3" w:rsidRDefault="00A525CB" w:rsidP="009F7181">
      <w:pPr>
        <w:pStyle w:val="Default"/>
        <w:jc w:val="both"/>
        <w:rPr>
          <w:rFonts w:cs="Tahoma"/>
          <w:color w:val="auto"/>
          <w:sz w:val="20"/>
          <w:szCs w:val="20"/>
          <w:lang w:val="hr-HR"/>
        </w:rPr>
      </w:pPr>
      <w:r w:rsidRPr="00542AA3">
        <w:rPr>
          <w:rFonts w:cs="Tahoma"/>
          <w:color w:val="auto"/>
          <w:sz w:val="20"/>
          <w:szCs w:val="20"/>
          <w:lang w:val="hr-HR"/>
        </w:rPr>
        <w:t>Jedinični iznos</w:t>
      </w:r>
      <w:r w:rsidR="009F7181" w:rsidRPr="00542AA3">
        <w:rPr>
          <w:rFonts w:cs="Tahoma"/>
          <w:color w:val="auto"/>
          <w:sz w:val="20"/>
          <w:szCs w:val="20"/>
          <w:lang w:val="hr-HR"/>
        </w:rPr>
        <w:t xml:space="preserve"> putnih troškova </w:t>
      </w:r>
      <w:r w:rsidRPr="00542AA3">
        <w:rPr>
          <w:rFonts w:cs="Tahoma"/>
          <w:color w:val="auto"/>
          <w:sz w:val="20"/>
          <w:szCs w:val="20"/>
          <w:lang w:val="hr-HR"/>
        </w:rPr>
        <w:t>ovisi</w:t>
      </w:r>
      <w:r w:rsidR="009F7181" w:rsidRPr="00542AA3">
        <w:rPr>
          <w:rFonts w:cs="Tahoma"/>
          <w:color w:val="auto"/>
          <w:sz w:val="20"/>
          <w:szCs w:val="20"/>
          <w:lang w:val="hr-HR"/>
        </w:rPr>
        <w:t xml:space="preserve"> o udaljenosti destinacije, te o kori</w:t>
      </w:r>
      <w:r w:rsidR="007719C2">
        <w:rPr>
          <w:rFonts w:cs="Tahoma"/>
          <w:color w:val="auto"/>
          <w:sz w:val="20"/>
          <w:szCs w:val="20"/>
          <w:lang w:val="hr-HR"/>
        </w:rPr>
        <w:t>š</w:t>
      </w:r>
      <w:r w:rsidR="009F7181" w:rsidRPr="00542AA3">
        <w:rPr>
          <w:rFonts w:cs="Tahoma"/>
          <w:color w:val="auto"/>
          <w:sz w:val="20"/>
          <w:szCs w:val="20"/>
          <w:lang w:val="hr-HR"/>
        </w:rPr>
        <w:t xml:space="preserve">tenju opcije zelenog načina putovanja (tablica u nastavku). </w:t>
      </w:r>
    </w:p>
    <w:p w14:paraId="70B6A788" w14:textId="77777777" w:rsidR="009F7181" w:rsidRPr="009F7181" w:rsidRDefault="009F7181" w:rsidP="00B03DB3">
      <w:pPr>
        <w:pStyle w:val="Default"/>
        <w:rPr>
          <w:sz w:val="20"/>
          <w:szCs w:val="2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4"/>
        <w:gridCol w:w="3405"/>
        <w:gridCol w:w="2183"/>
      </w:tblGrid>
      <w:tr w:rsidR="00B03DB3" w14:paraId="6D91425F" w14:textId="77777777" w:rsidTr="000C1C09">
        <w:trPr>
          <w:trHeight w:val="140"/>
        </w:trPr>
        <w:tc>
          <w:tcPr>
            <w:tcW w:w="2794" w:type="dxa"/>
            <w:shd w:val="clear" w:color="auto" w:fill="00B0F0"/>
          </w:tcPr>
          <w:p w14:paraId="761749C4" w14:textId="77777777" w:rsidR="00B03DB3" w:rsidRPr="00B03DB3" w:rsidRDefault="00B03DB3">
            <w:pPr>
              <w:pStyle w:val="Default"/>
              <w:rPr>
                <w:sz w:val="22"/>
                <w:szCs w:val="22"/>
              </w:rPr>
            </w:pPr>
            <w:r w:rsidRPr="00B03DB3">
              <w:rPr>
                <w:b/>
                <w:bCs/>
                <w:sz w:val="22"/>
                <w:szCs w:val="22"/>
              </w:rPr>
              <w:lastRenderedPageBreak/>
              <w:t>Raspon u km</w:t>
            </w:r>
          </w:p>
        </w:tc>
        <w:tc>
          <w:tcPr>
            <w:tcW w:w="3405" w:type="dxa"/>
            <w:shd w:val="clear" w:color="auto" w:fill="00B0F0"/>
          </w:tcPr>
          <w:p w14:paraId="323B5A4D" w14:textId="77777777" w:rsidR="00B03DB3" w:rsidRDefault="00B03DB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03DB3">
              <w:rPr>
                <w:b/>
                <w:bCs/>
                <w:sz w:val="22"/>
                <w:szCs w:val="22"/>
              </w:rPr>
              <w:t>Jedinični iznos</w:t>
            </w:r>
          </w:p>
          <w:p w14:paraId="7675D6C4" w14:textId="2BC2B0EF" w:rsidR="000C1C09" w:rsidRPr="00B03DB3" w:rsidRDefault="000C1C09" w:rsidP="000C1C0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(uključuje i povratno putovanje!)</w:t>
            </w:r>
          </w:p>
        </w:tc>
        <w:tc>
          <w:tcPr>
            <w:tcW w:w="2183" w:type="dxa"/>
          </w:tcPr>
          <w:p w14:paraId="21BD1311" w14:textId="77777777" w:rsidR="00B03DB3" w:rsidRPr="00B03DB3" w:rsidRDefault="00B03DB3">
            <w:pPr>
              <w:pStyle w:val="Default"/>
              <w:rPr>
                <w:color w:val="00B050"/>
                <w:sz w:val="22"/>
                <w:szCs w:val="22"/>
              </w:rPr>
            </w:pPr>
            <w:r w:rsidRPr="00B03DB3">
              <w:rPr>
                <w:b/>
                <w:bCs/>
                <w:color w:val="00B050"/>
                <w:sz w:val="22"/>
                <w:szCs w:val="22"/>
              </w:rPr>
              <w:t>Green travel</w:t>
            </w:r>
          </w:p>
        </w:tc>
      </w:tr>
      <w:tr w:rsidR="00B03DB3" w14:paraId="5F3C3470" w14:textId="77777777" w:rsidTr="000C1C09">
        <w:trPr>
          <w:trHeight w:val="140"/>
        </w:trPr>
        <w:tc>
          <w:tcPr>
            <w:tcW w:w="2794" w:type="dxa"/>
          </w:tcPr>
          <w:p w14:paraId="78AC367C" w14:textId="41C93A56" w:rsidR="00B03DB3" w:rsidRPr="00B03DB3" w:rsidRDefault="00B03DB3">
            <w:pPr>
              <w:pStyle w:val="Default"/>
              <w:rPr>
                <w:sz w:val="22"/>
                <w:szCs w:val="22"/>
              </w:rPr>
            </w:pPr>
            <w:r w:rsidRPr="00B03DB3">
              <w:rPr>
                <w:bCs/>
                <w:sz w:val="22"/>
                <w:szCs w:val="22"/>
              </w:rPr>
              <w:t>0 –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03DB3">
              <w:rPr>
                <w:bCs/>
                <w:sz w:val="22"/>
                <w:szCs w:val="22"/>
              </w:rPr>
              <w:t>99 km</w:t>
            </w:r>
          </w:p>
        </w:tc>
        <w:tc>
          <w:tcPr>
            <w:tcW w:w="3405" w:type="dxa"/>
          </w:tcPr>
          <w:p w14:paraId="01B33C8B" w14:textId="21FCFDAF" w:rsidR="00B03DB3" w:rsidRPr="00B03DB3" w:rsidRDefault="00B03DB3">
            <w:pPr>
              <w:pStyle w:val="Default"/>
              <w:rPr>
                <w:sz w:val="22"/>
                <w:szCs w:val="22"/>
              </w:rPr>
            </w:pPr>
            <w:r w:rsidRPr="00B03DB3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B03DB3">
              <w:rPr>
                <w:sz w:val="22"/>
                <w:szCs w:val="22"/>
              </w:rPr>
              <w:t>€</w:t>
            </w:r>
          </w:p>
        </w:tc>
        <w:tc>
          <w:tcPr>
            <w:tcW w:w="2183" w:type="dxa"/>
          </w:tcPr>
          <w:p w14:paraId="54265FF6" w14:textId="77777777" w:rsidR="00B03DB3" w:rsidRPr="00B03DB3" w:rsidRDefault="00B03DB3">
            <w:pPr>
              <w:pStyle w:val="Default"/>
              <w:rPr>
                <w:color w:val="00B050"/>
                <w:sz w:val="22"/>
                <w:szCs w:val="22"/>
              </w:rPr>
            </w:pPr>
            <w:r w:rsidRPr="00B03DB3">
              <w:rPr>
                <w:color w:val="00B050"/>
                <w:sz w:val="22"/>
                <w:szCs w:val="22"/>
              </w:rPr>
              <w:t>-</w:t>
            </w:r>
          </w:p>
        </w:tc>
      </w:tr>
      <w:tr w:rsidR="00B03DB3" w14:paraId="6B2E8DCD" w14:textId="77777777" w:rsidTr="000C1C09">
        <w:trPr>
          <w:trHeight w:val="140"/>
        </w:trPr>
        <w:tc>
          <w:tcPr>
            <w:tcW w:w="2794" w:type="dxa"/>
          </w:tcPr>
          <w:p w14:paraId="23B495E4" w14:textId="5FCFC590" w:rsidR="00B03DB3" w:rsidRPr="00B03DB3" w:rsidRDefault="00B03DB3">
            <w:pPr>
              <w:pStyle w:val="Default"/>
              <w:rPr>
                <w:sz w:val="22"/>
                <w:szCs w:val="22"/>
              </w:rPr>
            </w:pPr>
            <w:r w:rsidRPr="00B03DB3">
              <w:rPr>
                <w:bCs/>
                <w:sz w:val="22"/>
                <w:szCs w:val="22"/>
              </w:rPr>
              <w:t>100 –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03DB3">
              <w:rPr>
                <w:bCs/>
                <w:sz w:val="22"/>
                <w:szCs w:val="22"/>
              </w:rPr>
              <w:t>499 km</w:t>
            </w:r>
          </w:p>
        </w:tc>
        <w:tc>
          <w:tcPr>
            <w:tcW w:w="3405" w:type="dxa"/>
          </w:tcPr>
          <w:p w14:paraId="61E70034" w14:textId="77777777" w:rsidR="00B03DB3" w:rsidRPr="00B03DB3" w:rsidRDefault="00B03DB3">
            <w:pPr>
              <w:pStyle w:val="Default"/>
              <w:rPr>
                <w:sz w:val="22"/>
                <w:szCs w:val="22"/>
              </w:rPr>
            </w:pPr>
            <w:r w:rsidRPr="00B03DB3">
              <w:rPr>
                <w:sz w:val="22"/>
                <w:szCs w:val="22"/>
              </w:rPr>
              <w:t xml:space="preserve">180 € </w:t>
            </w:r>
          </w:p>
        </w:tc>
        <w:tc>
          <w:tcPr>
            <w:tcW w:w="2183" w:type="dxa"/>
          </w:tcPr>
          <w:p w14:paraId="75FFA374" w14:textId="77777777" w:rsidR="00B03DB3" w:rsidRPr="00B03DB3" w:rsidRDefault="00B03DB3">
            <w:pPr>
              <w:pStyle w:val="Default"/>
              <w:rPr>
                <w:color w:val="00B050"/>
                <w:sz w:val="22"/>
                <w:szCs w:val="22"/>
              </w:rPr>
            </w:pPr>
            <w:r w:rsidRPr="00B03DB3">
              <w:rPr>
                <w:color w:val="00B050"/>
                <w:sz w:val="22"/>
                <w:szCs w:val="22"/>
              </w:rPr>
              <w:t>210 €</w:t>
            </w:r>
          </w:p>
        </w:tc>
      </w:tr>
      <w:tr w:rsidR="00B03DB3" w14:paraId="6CE5F2AE" w14:textId="77777777" w:rsidTr="000C1C09">
        <w:trPr>
          <w:trHeight w:val="140"/>
        </w:trPr>
        <w:tc>
          <w:tcPr>
            <w:tcW w:w="2794" w:type="dxa"/>
          </w:tcPr>
          <w:p w14:paraId="7402EAA1" w14:textId="40DB1ABA" w:rsidR="00B03DB3" w:rsidRPr="00B03DB3" w:rsidRDefault="00B03DB3">
            <w:pPr>
              <w:pStyle w:val="Default"/>
              <w:rPr>
                <w:sz w:val="22"/>
                <w:szCs w:val="22"/>
              </w:rPr>
            </w:pPr>
            <w:r w:rsidRPr="00B03DB3">
              <w:rPr>
                <w:bCs/>
                <w:sz w:val="22"/>
                <w:szCs w:val="22"/>
              </w:rPr>
              <w:t>500 –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03DB3">
              <w:rPr>
                <w:bCs/>
                <w:sz w:val="22"/>
                <w:szCs w:val="22"/>
              </w:rPr>
              <w:t>1 999 km</w:t>
            </w:r>
          </w:p>
        </w:tc>
        <w:tc>
          <w:tcPr>
            <w:tcW w:w="3405" w:type="dxa"/>
          </w:tcPr>
          <w:p w14:paraId="2EF017C1" w14:textId="77777777" w:rsidR="00B03DB3" w:rsidRPr="00B03DB3" w:rsidRDefault="00B03DB3">
            <w:pPr>
              <w:pStyle w:val="Default"/>
              <w:rPr>
                <w:sz w:val="22"/>
                <w:szCs w:val="22"/>
              </w:rPr>
            </w:pPr>
            <w:r w:rsidRPr="00B03DB3">
              <w:rPr>
                <w:sz w:val="22"/>
                <w:szCs w:val="22"/>
              </w:rPr>
              <w:t>275 €</w:t>
            </w:r>
          </w:p>
        </w:tc>
        <w:tc>
          <w:tcPr>
            <w:tcW w:w="2183" w:type="dxa"/>
          </w:tcPr>
          <w:p w14:paraId="4BCC04EE" w14:textId="77777777" w:rsidR="00B03DB3" w:rsidRPr="00B03DB3" w:rsidRDefault="00B03DB3">
            <w:pPr>
              <w:pStyle w:val="Default"/>
              <w:rPr>
                <w:color w:val="00B050"/>
                <w:sz w:val="22"/>
                <w:szCs w:val="22"/>
              </w:rPr>
            </w:pPr>
            <w:r w:rsidRPr="00B03DB3">
              <w:rPr>
                <w:color w:val="00B050"/>
                <w:sz w:val="22"/>
                <w:szCs w:val="22"/>
              </w:rPr>
              <w:t>320 €</w:t>
            </w:r>
          </w:p>
        </w:tc>
      </w:tr>
      <w:tr w:rsidR="00B03DB3" w14:paraId="744251C6" w14:textId="77777777" w:rsidTr="000C1C09">
        <w:trPr>
          <w:trHeight w:val="140"/>
        </w:trPr>
        <w:tc>
          <w:tcPr>
            <w:tcW w:w="2794" w:type="dxa"/>
          </w:tcPr>
          <w:p w14:paraId="4C9BDD58" w14:textId="309D1D40" w:rsidR="00B03DB3" w:rsidRPr="00B03DB3" w:rsidRDefault="00B03DB3">
            <w:pPr>
              <w:pStyle w:val="Default"/>
              <w:rPr>
                <w:sz w:val="22"/>
                <w:szCs w:val="22"/>
              </w:rPr>
            </w:pPr>
            <w:r w:rsidRPr="00B03DB3">
              <w:rPr>
                <w:bCs/>
                <w:sz w:val="22"/>
                <w:szCs w:val="22"/>
              </w:rPr>
              <w:t>2 000 –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03DB3">
              <w:rPr>
                <w:bCs/>
                <w:sz w:val="22"/>
                <w:szCs w:val="22"/>
              </w:rPr>
              <w:t>2 999 km</w:t>
            </w:r>
          </w:p>
        </w:tc>
        <w:tc>
          <w:tcPr>
            <w:tcW w:w="3405" w:type="dxa"/>
          </w:tcPr>
          <w:p w14:paraId="1287549C" w14:textId="77777777" w:rsidR="00B03DB3" w:rsidRPr="00B03DB3" w:rsidRDefault="00B03DB3">
            <w:pPr>
              <w:pStyle w:val="Default"/>
              <w:rPr>
                <w:sz w:val="22"/>
                <w:szCs w:val="22"/>
              </w:rPr>
            </w:pPr>
            <w:r w:rsidRPr="00B03DB3">
              <w:rPr>
                <w:sz w:val="22"/>
                <w:szCs w:val="22"/>
              </w:rPr>
              <w:t>360 €</w:t>
            </w:r>
          </w:p>
        </w:tc>
        <w:tc>
          <w:tcPr>
            <w:tcW w:w="2183" w:type="dxa"/>
          </w:tcPr>
          <w:p w14:paraId="6CC59DC4" w14:textId="77777777" w:rsidR="00B03DB3" w:rsidRPr="00B03DB3" w:rsidRDefault="00B03DB3">
            <w:pPr>
              <w:pStyle w:val="Default"/>
              <w:rPr>
                <w:color w:val="00B050"/>
                <w:sz w:val="22"/>
                <w:szCs w:val="22"/>
              </w:rPr>
            </w:pPr>
            <w:r w:rsidRPr="00B03DB3">
              <w:rPr>
                <w:color w:val="00B050"/>
                <w:sz w:val="22"/>
                <w:szCs w:val="22"/>
              </w:rPr>
              <w:t>410 €</w:t>
            </w:r>
          </w:p>
        </w:tc>
      </w:tr>
      <w:tr w:rsidR="00B03DB3" w14:paraId="63620C42" w14:textId="77777777" w:rsidTr="000C1C09">
        <w:trPr>
          <w:trHeight w:val="140"/>
        </w:trPr>
        <w:tc>
          <w:tcPr>
            <w:tcW w:w="2794" w:type="dxa"/>
          </w:tcPr>
          <w:p w14:paraId="2F481696" w14:textId="1677E543" w:rsidR="00B03DB3" w:rsidRPr="00B03DB3" w:rsidRDefault="00B03DB3">
            <w:pPr>
              <w:pStyle w:val="Default"/>
              <w:rPr>
                <w:sz w:val="22"/>
                <w:szCs w:val="22"/>
              </w:rPr>
            </w:pPr>
            <w:r w:rsidRPr="00B03DB3">
              <w:rPr>
                <w:bCs/>
                <w:sz w:val="22"/>
                <w:szCs w:val="22"/>
              </w:rPr>
              <w:t>3 000 –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03DB3">
              <w:rPr>
                <w:bCs/>
                <w:sz w:val="22"/>
                <w:szCs w:val="22"/>
              </w:rPr>
              <w:t>3 999 km</w:t>
            </w:r>
          </w:p>
        </w:tc>
        <w:tc>
          <w:tcPr>
            <w:tcW w:w="3405" w:type="dxa"/>
          </w:tcPr>
          <w:p w14:paraId="7B97437E" w14:textId="77777777" w:rsidR="00B03DB3" w:rsidRPr="00B03DB3" w:rsidRDefault="00B03DB3">
            <w:pPr>
              <w:pStyle w:val="Default"/>
              <w:rPr>
                <w:sz w:val="22"/>
                <w:szCs w:val="22"/>
              </w:rPr>
            </w:pPr>
            <w:r w:rsidRPr="00B03DB3">
              <w:rPr>
                <w:sz w:val="22"/>
                <w:szCs w:val="22"/>
              </w:rPr>
              <w:t>530 €</w:t>
            </w:r>
          </w:p>
        </w:tc>
        <w:tc>
          <w:tcPr>
            <w:tcW w:w="2183" w:type="dxa"/>
          </w:tcPr>
          <w:p w14:paraId="75053228" w14:textId="77777777" w:rsidR="00B03DB3" w:rsidRPr="00B03DB3" w:rsidRDefault="00B03DB3">
            <w:pPr>
              <w:pStyle w:val="Default"/>
              <w:rPr>
                <w:color w:val="00B050"/>
                <w:sz w:val="22"/>
                <w:szCs w:val="22"/>
              </w:rPr>
            </w:pPr>
            <w:r w:rsidRPr="00B03DB3">
              <w:rPr>
                <w:color w:val="00B050"/>
                <w:sz w:val="22"/>
                <w:szCs w:val="22"/>
              </w:rPr>
              <w:t>610 €</w:t>
            </w:r>
          </w:p>
        </w:tc>
      </w:tr>
      <w:tr w:rsidR="00B03DB3" w14:paraId="03E7D42C" w14:textId="77777777" w:rsidTr="000C1C09">
        <w:trPr>
          <w:trHeight w:val="140"/>
        </w:trPr>
        <w:tc>
          <w:tcPr>
            <w:tcW w:w="2794" w:type="dxa"/>
          </w:tcPr>
          <w:p w14:paraId="437D3730" w14:textId="10A2F9FC" w:rsidR="00B03DB3" w:rsidRPr="00B03DB3" w:rsidRDefault="00B03DB3">
            <w:pPr>
              <w:pStyle w:val="Default"/>
              <w:rPr>
                <w:sz w:val="22"/>
                <w:szCs w:val="22"/>
              </w:rPr>
            </w:pPr>
            <w:r w:rsidRPr="00B03DB3">
              <w:rPr>
                <w:bCs/>
                <w:sz w:val="22"/>
                <w:szCs w:val="22"/>
              </w:rPr>
              <w:t>4 000 –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03DB3">
              <w:rPr>
                <w:bCs/>
                <w:sz w:val="22"/>
                <w:szCs w:val="22"/>
              </w:rPr>
              <w:t>7 999 km</w:t>
            </w:r>
          </w:p>
        </w:tc>
        <w:tc>
          <w:tcPr>
            <w:tcW w:w="3405" w:type="dxa"/>
          </w:tcPr>
          <w:p w14:paraId="35BB05E7" w14:textId="77777777" w:rsidR="00B03DB3" w:rsidRPr="00B03DB3" w:rsidRDefault="00B03DB3">
            <w:pPr>
              <w:pStyle w:val="Default"/>
              <w:rPr>
                <w:sz w:val="22"/>
                <w:szCs w:val="22"/>
              </w:rPr>
            </w:pPr>
            <w:r w:rsidRPr="00B03DB3">
              <w:rPr>
                <w:sz w:val="22"/>
                <w:szCs w:val="22"/>
              </w:rPr>
              <w:t>820 €</w:t>
            </w:r>
          </w:p>
        </w:tc>
        <w:tc>
          <w:tcPr>
            <w:tcW w:w="2183" w:type="dxa"/>
          </w:tcPr>
          <w:p w14:paraId="62DE441C" w14:textId="77777777" w:rsidR="00B03DB3" w:rsidRPr="00B03DB3" w:rsidRDefault="00B03DB3">
            <w:pPr>
              <w:pStyle w:val="Default"/>
              <w:rPr>
                <w:color w:val="00B050"/>
                <w:sz w:val="22"/>
                <w:szCs w:val="22"/>
              </w:rPr>
            </w:pPr>
            <w:r w:rsidRPr="00B03DB3">
              <w:rPr>
                <w:color w:val="00B050"/>
                <w:sz w:val="22"/>
                <w:szCs w:val="22"/>
              </w:rPr>
              <w:t>-</w:t>
            </w:r>
          </w:p>
        </w:tc>
      </w:tr>
      <w:tr w:rsidR="00B03DB3" w14:paraId="4FB15426" w14:textId="77777777" w:rsidTr="000C1C09">
        <w:trPr>
          <w:trHeight w:val="140"/>
        </w:trPr>
        <w:tc>
          <w:tcPr>
            <w:tcW w:w="2794" w:type="dxa"/>
          </w:tcPr>
          <w:p w14:paraId="6FC341F8" w14:textId="575CE654" w:rsidR="00B03DB3" w:rsidRPr="00B03DB3" w:rsidRDefault="00B03DB3">
            <w:pPr>
              <w:pStyle w:val="Default"/>
              <w:rPr>
                <w:sz w:val="22"/>
                <w:szCs w:val="22"/>
              </w:rPr>
            </w:pPr>
            <w:r w:rsidRPr="00B03DB3">
              <w:rPr>
                <w:bCs/>
                <w:sz w:val="22"/>
                <w:szCs w:val="22"/>
              </w:rPr>
              <w:t>8 000 km ili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03DB3">
              <w:rPr>
                <w:bCs/>
                <w:sz w:val="22"/>
                <w:szCs w:val="22"/>
              </w:rPr>
              <w:t>više</w:t>
            </w:r>
          </w:p>
        </w:tc>
        <w:tc>
          <w:tcPr>
            <w:tcW w:w="3405" w:type="dxa"/>
          </w:tcPr>
          <w:p w14:paraId="30C6CAD2" w14:textId="77777777" w:rsidR="00B03DB3" w:rsidRPr="00B03DB3" w:rsidRDefault="00B03DB3">
            <w:pPr>
              <w:pStyle w:val="Default"/>
              <w:rPr>
                <w:sz w:val="22"/>
                <w:szCs w:val="22"/>
              </w:rPr>
            </w:pPr>
            <w:r w:rsidRPr="00B03DB3">
              <w:rPr>
                <w:sz w:val="22"/>
                <w:szCs w:val="22"/>
              </w:rPr>
              <w:t>1500 €</w:t>
            </w:r>
          </w:p>
        </w:tc>
        <w:tc>
          <w:tcPr>
            <w:tcW w:w="2183" w:type="dxa"/>
          </w:tcPr>
          <w:p w14:paraId="555F9A5A" w14:textId="77777777" w:rsidR="00B03DB3" w:rsidRPr="00B03DB3" w:rsidRDefault="00B03DB3">
            <w:pPr>
              <w:pStyle w:val="Default"/>
              <w:rPr>
                <w:color w:val="00B050"/>
                <w:sz w:val="22"/>
                <w:szCs w:val="22"/>
              </w:rPr>
            </w:pPr>
            <w:r w:rsidRPr="00B03DB3">
              <w:rPr>
                <w:color w:val="00B050"/>
                <w:sz w:val="22"/>
                <w:szCs w:val="22"/>
              </w:rPr>
              <w:t>-</w:t>
            </w:r>
          </w:p>
        </w:tc>
      </w:tr>
    </w:tbl>
    <w:p w14:paraId="59805E80" w14:textId="2CB64B30" w:rsidR="00B03DB3" w:rsidRDefault="00B03DB3" w:rsidP="003E6B8C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  <w:lang w:val="hr-HR"/>
        </w:rPr>
      </w:pPr>
    </w:p>
    <w:p w14:paraId="79F57B4B" w14:textId="77777777" w:rsidR="00DE593D" w:rsidRPr="00343D31" w:rsidRDefault="00DE593D" w:rsidP="00DE593D">
      <w:pPr>
        <w:autoSpaceDE w:val="0"/>
        <w:autoSpaceDN w:val="0"/>
        <w:adjustRightInd w:val="0"/>
        <w:jc w:val="both"/>
        <w:rPr>
          <w:rFonts w:ascii="Calibri" w:hAnsi="Calibri" w:cs="Tahoma"/>
          <w:sz w:val="20"/>
          <w:szCs w:val="20"/>
          <w:lang w:val="hr-HR"/>
        </w:rPr>
      </w:pPr>
      <w:r w:rsidRPr="00343D31">
        <w:rPr>
          <w:rFonts w:ascii="Calibri" w:hAnsi="Calibri" w:cs="Tahoma"/>
          <w:sz w:val="20"/>
          <w:szCs w:val="20"/>
          <w:lang w:val="hr-HR"/>
        </w:rPr>
        <w:t>Broj dodijeljenih potpora ovisit će o od strane Agencije za mobilnost i programe EU dodijeljenim sredstvima te o ukupnom broju dana za koje su se članovi nastavnog / nenastavnog osoblja prijavili.</w:t>
      </w:r>
    </w:p>
    <w:p w14:paraId="5987F7C1" w14:textId="77777777" w:rsidR="00DE593D" w:rsidRPr="00343D31" w:rsidRDefault="00DE593D" w:rsidP="00DE593D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  <w:lang w:val="hr-HR"/>
        </w:rPr>
      </w:pPr>
    </w:p>
    <w:p w14:paraId="50387A0F" w14:textId="4A243336" w:rsidR="00DE593D" w:rsidRPr="00343D31" w:rsidRDefault="00DE593D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343D31">
        <w:rPr>
          <w:rFonts w:ascii="Calibri" w:hAnsi="Calibri" w:cs="Tahoma"/>
          <w:sz w:val="20"/>
          <w:szCs w:val="20"/>
          <w:lang w:val="hr-HR"/>
        </w:rPr>
        <w:t>Kandidati/kandidatkinje ne mogu dobiti financijsku potporu u sklopu Erasmusa ukoliko će njihov boravak u inozemstvu biti dodatno financiran iz sredstava koja potječu iz</w:t>
      </w:r>
      <w:r w:rsidR="004C51FB">
        <w:rPr>
          <w:rFonts w:ascii="Calibri" w:hAnsi="Calibri" w:cs="Tahoma"/>
          <w:sz w:val="20"/>
          <w:szCs w:val="20"/>
          <w:lang w:val="hr-HR"/>
        </w:rPr>
        <w:t xml:space="preserve"> fondova</w:t>
      </w:r>
      <w:r w:rsidRPr="00343D31">
        <w:rPr>
          <w:rFonts w:ascii="Calibri" w:hAnsi="Calibri" w:cs="Tahoma"/>
          <w:sz w:val="20"/>
          <w:szCs w:val="20"/>
          <w:lang w:val="hr-HR"/>
        </w:rPr>
        <w:t xml:space="preserve"> Europske unije. Pod dvostrukim financiranjem ne smatraju se sredstva koja Sveučilište odnosno njegove sastavnice odluče izdvojiti kako bi povećale mjesečni iznos financijske potpore za kandidate/kandidatkinje.</w:t>
      </w:r>
    </w:p>
    <w:p w14:paraId="21AF6E36" w14:textId="36ECF112" w:rsidR="00DE593D" w:rsidRDefault="00DE593D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19A8051F" w14:textId="376E1560" w:rsidR="00477296" w:rsidRPr="006F2700" w:rsidRDefault="00477296" w:rsidP="00477296">
      <w:pPr>
        <w:autoSpaceDE w:val="0"/>
        <w:autoSpaceDN w:val="0"/>
        <w:adjustRightInd w:val="0"/>
        <w:jc w:val="both"/>
        <w:rPr>
          <w:rFonts w:ascii="Calibri" w:hAnsi="Calibri" w:cs="Tahoma"/>
          <w:sz w:val="20"/>
          <w:szCs w:val="20"/>
          <w:lang w:val="hr-HR"/>
        </w:rPr>
      </w:pPr>
      <w:r w:rsidRPr="00343D31">
        <w:rPr>
          <w:rFonts w:ascii="Calibri" w:hAnsi="Calibri" w:cs="Tahoma"/>
          <w:sz w:val="20"/>
          <w:szCs w:val="20"/>
          <w:lang w:val="hr-HR"/>
        </w:rPr>
        <w:t xml:space="preserve">Kandidati/kandidatkinje </w:t>
      </w:r>
      <w:r w:rsidRPr="00017DA7">
        <w:rPr>
          <w:rFonts w:ascii="Calibri" w:hAnsi="Calibri" w:cs="Tahoma"/>
          <w:sz w:val="20"/>
          <w:szCs w:val="20"/>
          <w:lang w:val="hr-HR"/>
        </w:rPr>
        <w:t>mogu uz bespovratna sredstva EU-a u okviru programa Erasmus+ ili umjesto njih (sudionici u</w:t>
      </w:r>
      <w:r>
        <w:rPr>
          <w:rFonts w:ascii="Calibri" w:hAnsi="Calibri" w:cs="Tahoma"/>
          <w:sz w:val="20"/>
          <w:szCs w:val="20"/>
          <w:lang w:val="hr-HR"/>
        </w:rPr>
        <w:t xml:space="preserve"> </w:t>
      </w:r>
      <w:r w:rsidRPr="00017DA7">
        <w:rPr>
          <w:rFonts w:ascii="Calibri" w:hAnsi="Calibri" w:cs="Tahoma"/>
          <w:sz w:val="20"/>
          <w:szCs w:val="20"/>
          <w:lang w:val="hr-HR"/>
        </w:rPr>
        <w:t>mobilnosti bez financijske potpore iz fondova EU-a) dobivati regionalna, nacionalna ili druga bespovratna sredstva</w:t>
      </w:r>
      <w:r>
        <w:rPr>
          <w:rFonts w:ascii="Calibri" w:hAnsi="Calibri" w:cs="Tahoma"/>
          <w:sz w:val="20"/>
          <w:szCs w:val="20"/>
          <w:lang w:val="hr-HR"/>
        </w:rPr>
        <w:t xml:space="preserve"> </w:t>
      </w:r>
      <w:r w:rsidRPr="00017DA7">
        <w:rPr>
          <w:rFonts w:ascii="Calibri" w:hAnsi="Calibri" w:cs="Tahoma"/>
          <w:sz w:val="20"/>
          <w:szCs w:val="20"/>
          <w:lang w:val="hr-HR"/>
        </w:rPr>
        <w:t>kojima ne upravlja nacionalna agencija (nego npr. ministarstvo ili regionalna tijela).</w:t>
      </w:r>
    </w:p>
    <w:p w14:paraId="3AE90D17" w14:textId="77777777" w:rsidR="00477296" w:rsidRPr="00343D31" w:rsidRDefault="00477296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6223E282" w14:textId="4E612581" w:rsidR="00DE593D" w:rsidRPr="00343D31" w:rsidRDefault="00DE593D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343D31">
        <w:rPr>
          <w:rFonts w:ascii="Calibri" w:hAnsi="Calibri" w:cs="Tahoma"/>
          <w:sz w:val="20"/>
          <w:szCs w:val="20"/>
          <w:lang w:val="hr-HR"/>
        </w:rPr>
        <w:t xml:space="preserve">Osobe s posebnim potrebama/invaliditetom imaju pravo dobiti uvećani iznos mjesečne financijske potpore zbog mogućih povećanih troškova mobilnosti. </w:t>
      </w:r>
      <w:r w:rsidRPr="00343D31">
        <w:rPr>
          <w:rFonts w:ascii="Calibri" w:hAnsi="Calibri"/>
          <w:sz w:val="20"/>
          <w:szCs w:val="20"/>
          <w:lang w:val="hr-HR"/>
        </w:rPr>
        <w:t>Sveučilište u Rijeci će kandidate koji budu izabrani na Natječaju, a koji su u sklopu natječajne dokumentacije dostavili ispunjen prijavni obrazac za osobe s posebnim potrebama/invaliditetom, naknadno obavijestiti o postupku potraživanja dodatnih sredstava od Agencije za mobilnost i programe EU kao i o dodatnoj dokumentaciji koju je potrebno dostaviti u svrhu odobrenja dodatnih sredstava</w:t>
      </w:r>
      <w:r w:rsidR="00E50D2B" w:rsidRPr="00343D31">
        <w:rPr>
          <w:rFonts w:ascii="Calibri" w:hAnsi="Calibri"/>
          <w:sz w:val="20"/>
          <w:szCs w:val="20"/>
          <w:lang w:val="hr-HR"/>
        </w:rPr>
        <w:t>.</w:t>
      </w:r>
    </w:p>
    <w:p w14:paraId="35767B81" w14:textId="77777777" w:rsidR="00DE593D" w:rsidRPr="00343D31" w:rsidRDefault="00DE593D" w:rsidP="00DE593D">
      <w:pPr>
        <w:shd w:val="clear" w:color="auto" w:fill="99CCFF"/>
        <w:jc w:val="both"/>
        <w:rPr>
          <w:rFonts w:ascii="Calibri" w:hAnsi="Calibri" w:cs="Tahoma"/>
          <w:b/>
          <w:sz w:val="20"/>
          <w:szCs w:val="20"/>
          <w:lang w:val="hr-HR"/>
        </w:rPr>
      </w:pPr>
      <w:r w:rsidRPr="00343D31">
        <w:rPr>
          <w:rFonts w:ascii="Calibri" w:hAnsi="Calibri" w:cs="Tahoma"/>
          <w:b/>
          <w:sz w:val="20"/>
          <w:szCs w:val="20"/>
          <w:lang w:val="hr-HR"/>
        </w:rPr>
        <w:t>H Prijavna dokumentacija:</w:t>
      </w:r>
    </w:p>
    <w:p w14:paraId="1D6CD204" w14:textId="77777777" w:rsidR="00DE593D" w:rsidRPr="00343D31" w:rsidRDefault="00DE593D" w:rsidP="00DE593D">
      <w:pPr>
        <w:ind w:left="360"/>
        <w:jc w:val="both"/>
        <w:rPr>
          <w:rFonts w:ascii="Calibri" w:hAnsi="Calibri" w:cs="Tahoma"/>
          <w:sz w:val="20"/>
          <w:szCs w:val="20"/>
          <w:lang w:val="hr-HR"/>
        </w:rPr>
      </w:pPr>
    </w:p>
    <w:p w14:paraId="72C1A83C" w14:textId="77777777" w:rsidR="00DE593D" w:rsidRPr="00343D31" w:rsidRDefault="00DE593D" w:rsidP="00DE593D">
      <w:pPr>
        <w:ind w:left="360"/>
        <w:jc w:val="both"/>
        <w:rPr>
          <w:rFonts w:ascii="Calibri" w:hAnsi="Calibri" w:cs="Tahoma"/>
          <w:sz w:val="20"/>
          <w:szCs w:val="20"/>
          <w:lang w:val="hr-HR"/>
        </w:rPr>
      </w:pPr>
      <w:r w:rsidRPr="00343D31">
        <w:rPr>
          <w:rFonts w:ascii="Calibri" w:hAnsi="Calibri" w:cs="Tahoma"/>
          <w:sz w:val="20"/>
          <w:szCs w:val="20"/>
          <w:lang w:val="hr-HR"/>
        </w:rPr>
        <w:t>OBVEZNI DOKUMENTI</w:t>
      </w:r>
    </w:p>
    <w:p w14:paraId="0A5FFC43" w14:textId="77777777" w:rsidR="00DE593D" w:rsidRPr="00343D31" w:rsidRDefault="00DE593D" w:rsidP="00DE593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Tahoma"/>
          <w:sz w:val="20"/>
          <w:szCs w:val="20"/>
          <w:lang w:val="hr-HR"/>
        </w:rPr>
      </w:pPr>
      <w:r w:rsidRPr="00343D31">
        <w:rPr>
          <w:rFonts w:ascii="Calibri" w:hAnsi="Calibri" w:cs="Tahoma"/>
          <w:sz w:val="20"/>
          <w:szCs w:val="20"/>
          <w:lang w:val="hr-HR"/>
        </w:rPr>
        <w:t>Obrazac za nastavni plan (za aktivnost održavanje nastave / kombinaciju aktivnosti održavanja nastave i stručnog usavršavanja) / Obrazac za plan rada (za aktivnost stručno usavršavanje) potpisan i ovjeren od strane ovlaštene osobe s inozemne institucije;</w:t>
      </w:r>
    </w:p>
    <w:p w14:paraId="1F5D5090" w14:textId="77777777" w:rsidR="00DE593D" w:rsidRPr="00343D31" w:rsidRDefault="00DE593D" w:rsidP="00DE593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Tahoma"/>
          <w:sz w:val="20"/>
          <w:szCs w:val="20"/>
          <w:lang w:val="hr-HR"/>
        </w:rPr>
      </w:pPr>
      <w:r w:rsidRPr="00343D31">
        <w:rPr>
          <w:rFonts w:ascii="Calibri" w:hAnsi="Calibri" w:cs="Tahoma"/>
          <w:sz w:val="20"/>
          <w:szCs w:val="20"/>
          <w:lang w:val="hr-HR"/>
        </w:rPr>
        <w:t>Preslika osobne iskaznice ili važeće putne isprave;</w:t>
      </w:r>
    </w:p>
    <w:p w14:paraId="59E85CF5" w14:textId="77777777" w:rsidR="00DE593D" w:rsidRPr="00343D31" w:rsidRDefault="00DE593D" w:rsidP="00DE593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Tahoma"/>
          <w:sz w:val="20"/>
          <w:szCs w:val="20"/>
          <w:lang w:val="hr-HR"/>
        </w:rPr>
      </w:pPr>
      <w:r w:rsidRPr="00343D31">
        <w:rPr>
          <w:rFonts w:ascii="Calibri" w:hAnsi="Calibri" w:cs="Tahoma"/>
          <w:sz w:val="20"/>
          <w:szCs w:val="20"/>
          <w:lang w:val="hr-HR"/>
        </w:rPr>
        <w:t>Potpisana i ovjerena suglasnog rektora/dekana/tajnika o odsustvu kandidata/kandidatkinje s radnog mjesta;</w:t>
      </w:r>
    </w:p>
    <w:p w14:paraId="42430922" w14:textId="77777777" w:rsidR="00DE593D" w:rsidRPr="00343D31" w:rsidRDefault="00DE593D" w:rsidP="00DE593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Tahoma"/>
          <w:sz w:val="20"/>
          <w:szCs w:val="20"/>
          <w:lang w:val="hr-HR"/>
        </w:rPr>
      </w:pPr>
      <w:r w:rsidRPr="00343D31">
        <w:rPr>
          <w:rFonts w:ascii="Calibri" w:hAnsi="Calibri" w:cs="Tahoma"/>
          <w:sz w:val="20"/>
          <w:szCs w:val="20"/>
          <w:lang w:val="hr-HR"/>
        </w:rPr>
        <w:t>Dokaz o zaposlenju na Sveučilištu u Rijeci iz kojega je razvidno da kandidat/kandidatkinja ima sklopljen ugovor o radu / ugovor o djelu te da mu ugovor važi, odnosno da će važiti, za cjelokupno vrijeme trajanja boravka na inozemnoj ustanovi.</w:t>
      </w:r>
    </w:p>
    <w:p w14:paraId="20C226EF" w14:textId="77777777" w:rsidR="00DE593D" w:rsidRPr="00343D31" w:rsidRDefault="00DE593D" w:rsidP="00DE593D">
      <w:pPr>
        <w:ind w:left="360"/>
        <w:jc w:val="both"/>
        <w:rPr>
          <w:rFonts w:ascii="Calibri" w:hAnsi="Calibri" w:cs="Tahoma"/>
          <w:sz w:val="20"/>
          <w:szCs w:val="20"/>
          <w:lang w:val="hr-HR"/>
        </w:rPr>
      </w:pPr>
    </w:p>
    <w:p w14:paraId="535C6089" w14:textId="77777777" w:rsidR="00DE593D" w:rsidRPr="00343D31" w:rsidRDefault="00DE593D" w:rsidP="00DE593D">
      <w:pPr>
        <w:ind w:left="360"/>
        <w:jc w:val="both"/>
        <w:rPr>
          <w:rFonts w:ascii="Calibri" w:hAnsi="Calibri" w:cs="Tahoma"/>
          <w:sz w:val="20"/>
          <w:szCs w:val="20"/>
          <w:lang w:val="hr-HR"/>
        </w:rPr>
      </w:pPr>
      <w:r w:rsidRPr="00343D31">
        <w:rPr>
          <w:rFonts w:ascii="Calibri" w:hAnsi="Calibri" w:cs="Tahoma"/>
          <w:sz w:val="20"/>
          <w:szCs w:val="20"/>
          <w:lang w:val="hr-HR"/>
        </w:rPr>
        <w:t>DODATNI DOKUMENTI</w:t>
      </w:r>
    </w:p>
    <w:p w14:paraId="19F04D13" w14:textId="77777777" w:rsidR="00DE593D" w:rsidRPr="00343D31" w:rsidRDefault="00DE593D" w:rsidP="00DE593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Tahoma"/>
          <w:sz w:val="20"/>
          <w:szCs w:val="20"/>
          <w:lang w:val="hr-HR"/>
        </w:rPr>
      </w:pPr>
      <w:r w:rsidRPr="00343D31">
        <w:rPr>
          <w:rFonts w:ascii="Calibri" w:hAnsi="Calibri" w:cs="Tahoma"/>
          <w:sz w:val="20"/>
          <w:szCs w:val="20"/>
          <w:lang w:val="hr-HR"/>
        </w:rPr>
        <w:t>Prijavni obrazac za osobe s posebnim potrebama (po potrebi).</w:t>
      </w:r>
    </w:p>
    <w:p w14:paraId="7B6185A0" w14:textId="76C942B5" w:rsidR="00DE593D" w:rsidRPr="00343D31" w:rsidRDefault="00DE593D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675052AB" w14:textId="77777777" w:rsidR="00DE593D" w:rsidRPr="00343D31" w:rsidRDefault="00DE593D" w:rsidP="00DE593D">
      <w:pPr>
        <w:shd w:val="clear" w:color="auto" w:fill="99CCFF"/>
        <w:jc w:val="both"/>
        <w:rPr>
          <w:rFonts w:ascii="Calibri" w:hAnsi="Calibri" w:cs="Tahoma"/>
          <w:b/>
          <w:sz w:val="20"/>
          <w:szCs w:val="20"/>
          <w:lang w:val="hr-HR"/>
        </w:rPr>
      </w:pPr>
      <w:r w:rsidRPr="00343D31">
        <w:rPr>
          <w:rFonts w:ascii="Calibri" w:hAnsi="Calibri" w:cs="Tahoma"/>
          <w:b/>
          <w:sz w:val="20"/>
          <w:szCs w:val="20"/>
          <w:lang w:val="hr-HR"/>
        </w:rPr>
        <w:t>I Materijali:</w:t>
      </w:r>
    </w:p>
    <w:p w14:paraId="0F805A97" w14:textId="77777777" w:rsidR="00DE593D" w:rsidRPr="00343D31" w:rsidRDefault="00DE593D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4A201EFB" w14:textId="77777777" w:rsidR="00DE593D" w:rsidRPr="00343D31" w:rsidRDefault="00DE593D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343D31">
        <w:rPr>
          <w:rFonts w:ascii="Calibri" w:hAnsi="Calibri" w:cs="Tahoma"/>
          <w:sz w:val="20"/>
          <w:szCs w:val="20"/>
          <w:lang w:val="hr-HR"/>
        </w:rPr>
        <w:t>- Obrazac za nastavni plan;</w:t>
      </w:r>
    </w:p>
    <w:p w14:paraId="4D517201" w14:textId="77777777" w:rsidR="00DE593D" w:rsidRPr="00343D31" w:rsidRDefault="00DE593D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343D31">
        <w:rPr>
          <w:rFonts w:ascii="Calibri" w:hAnsi="Calibri" w:cs="Tahoma"/>
          <w:sz w:val="20"/>
          <w:szCs w:val="20"/>
          <w:lang w:val="hr-HR"/>
        </w:rPr>
        <w:t>- Obrazac za plan rada;</w:t>
      </w:r>
    </w:p>
    <w:p w14:paraId="488F5CA4" w14:textId="77777777" w:rsidR="00DE593D" w:rsidRPr="00343D31" w:rsidRDefault="00DE593D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343D31">
        <w:rPr>
          <w:rFonts w:ascii="Calibri" w:hAnsi="Calibri" w:cs="Tahoma"/>
          <w:sz w:val="20"/>
          <w:szCs w:val="20"/>
          <w:lang w:val="hr-HR"/>
        </w:rPr>
        <w:t>- Prijavni obrazac za osobe s posebnim potrebama.</w:t>
      </w:r>
    </w:p>
    <w:p w14:paraId="3EE1D5F9" w14:textId="77777777" w:rsidR="00DE593D" w:rsidRPr="00343D31" w:rsidRDefault="00DE593D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343D31">
        <w:rPr>
          <w:rFonts w:ascii="Calibri" w:hAnsi="Calibri" w:cs="Tahoma"/>
          <w:sz w:val="20"/>
          <w:szCs w:val="20"/>
          <w:lang w:val="hr-HR"/>
        </w:rPr>
        <w:lastRenderedPageBreak/>
        <w:t xml:space="preserve">Materijali dostupni na: </w:t>
      </w:r>
      <w:hyperlink r:id="rId11" w:history="1">
        <w:r w:rsidRPr="00343D31">
          <w:rPr>
            <w:rStyle w:val="Hyperlink"/>
            <w:rFonts w:ascii="Calibri" w:hAnsi="Calibri" w:cs="Tahoma"/>
            <w:sz w:val="20"/>
            <w:szCs w:val="20"/>
            <w:lang w:val="hr-HR"/>
          </w:rPr>
          <w:t>www.uniri.hr</w:t>
        </w:r>
      </w:hyperlink>
      <w:r w:rsidRPr="00343D31">
        <w:rPr>
          <w:rFonts w:ascii="Calibri" w:hAnsi="Calibri" w:cs="Tahoma"/>
          <w:sz w:val="20"/>
          <w:szCs w:val="20"/>
          <w:lang w:val="hr-HR"/>
        </w:rPr>
        <w:t xml:space="preserve"> (uz tekst natječaja).</w:t>
      </w:r>
    </w:p>
    <w:p w14:paraId="78DA757D" w14:textId="77777777" w:rsidR="00DE593D" w:rsidRPr="00343D31" w:rsidRDefault="00DE593D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6FDA39EA" w14:textId="77777777" w:rsidR="00DE593D" w:rsidRPr="00343D31" w:rsidRDefault="00DE593D" w:rsidP="00DE593D">
      <w:pPr>
        <w:shd w:val="clear" w:color="auto" w:fill="99CCFF"/>
        <w:rPr>
          <w:rFonts w:ascii="Calibri" w:hAnsi="Calibri" w:cs="Tahoma"/>
          <w:b/>
          <w:sz w:val="20"/>
          <w:szCs w:val="20"/>
          <w:lang w:val="hr-HR"/>
        </w:rPr>
      </w:pPr>
      <w:r w:rsidRPr="00343D31">
        <w:rPr>
          <w:rFonts w:ascii="Calibri" w:hAnsi="Calibri" w:cs="Tahoma"/>
          <w:b/>
          <w:sz w:val="20"/>
          <w:szCs w:val="20"/>
          <w:lang w:val="hr-HR"/>
        </w:rPr>
        <w:t>J Ostalo</w:t>
      </w:r>
    </w:p>
    <w:p w14:paraId="21ECA971" w14:textId="77777777" w:rsidR="00DE593D" w:rsidRPr="00343D31" w:rsidRDefault="00DE593D" w:rsidP="00DE593D">
      <w:pPr>
        <w:rPr>
          <w:rFonts w:ascii="Calibri" w:hAnsi="Calibri" w:cs="Tahoma"/>
          <w:sz w:val="20"/>
          <w:szCs w:val="20"/>
          <w:lang w:val="hr-HR"/>
        </w:rPr>
      </w:pPr>
    </w:p>
    <w:p w14:paraId="0F2D0907" w14:textId="77777777" w:rsidR="00DE593D" w:rsidRPr="00343D31" w:rsidRDefault="00DE593D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343D31">
        <w:rPr>
          <w:rFonts w:ascii="Calibri" w:hAnsi="Calibri" w:cs="Tahoma"/>
          <w:sz w:val="20"/>
          <w:szCs w:val="20"/>
          <w:lang w:val="hr-HR"/>
        </w:rPr>
        <w:t>Izabrani kandidati/kandidatkinje dužni su se prije i po povratku s inozemne ustanove pridržavati propisane procedure (o kojoj će biti obaviješteni) te Sveučilištu dostaviti zatraženu dokumentaciju.</w:t>
      </w:r>
    </w:p>
    <w:p w14:paraId="4DC01521" w14:textId="77777777" w:rsidR="00DE593D" w:rsidRPr="00343D31" w:rsidRDefault="00DE593D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5CF766AF" w14:textId="77777777" w:rsidR="00DE593D" w:rsidRPr="00343D31" w:rsidRDefault="00DE593D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343D31">
        <w:rPr>
          <w:rFonts w:ascii="Calibri" w:hAnsi="Calibri" w:cs="Tahoma"/>
          <w:sz w:val="20"/>
          <w:szCs w:val="20"/>
          <w:lang w:val="hr-HR"/>
        </w:rPr>
        <w:t xml:space="preserve">Prijavom na Natječaj kandidati potvrđuju da su upoznati da Sveučilište u Rijeci kao voditelj obrade osobnih podataka obrađuje njihove osobne podatke iz Prijave izričito u svrhu provedbe predmetnog Natječaja odnosno u svrhu provedbe Erasmus mobilnosti, uključujući i objavu imena i prezimena na popisu izabranih/odbijenih kandidata ili na listi čekanja, odnosno na svim naknadnim listama/popisima ukoliko bude potrebe za istim, kao i sastavljanja i provedbe ugovora o dodjeli financijske potpore te u svrhu isplate financijske potpore. </w:t>
      </w:r>
    </w:p>
    <w:p w14:paraId="1A2B1D4B" w14:textId="77777777" w:rsidR="00DE593D" w:rsidRPr="00343D31" w:rsidRDefault="00DE593D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030F984C" w14:textId="77777777" w:rsidR="00DE593D" w:rsidRPr="00343D31" w:rsidRDefault="00DE593D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343D31">
        <w:rPr>
          <w:rFonts w:ascii="Calibri" w:hAnsi="Calibri" w:cs="Tahoma"/>
          <w:sz w:val="20"/>
          <w:szCs w:val="20"/>
          <w:lang w:val="hr-HR"/>
        </w:rPr>
        <w:t>Prijavom na Natječaj kandidati potvrđuju da su upoznati da provedba postupka Erasmus mobilnosti podrazumijeva unošenje njihovih osobnih podataka u baze Sveučilišta u Rijeci, sastavnica Sveučilišta u Rijeci, inozemnih partnerskih institucija, Europske komisije, Agencije za mobilnost i programe EU, baze Ministarstva unutarnjih poslova i drugih ustanova/ javnopravnih tijela koja su ovlaštena tražiti i dobiti podatke o Erasmus stipendistima u svrhu provedbe mobilnosti.</w:t>
      </w:r>
    </w:p>
    <w:p w14:paraId="08524B1E" w14:textId="77777777" w:rsidR="00DE593D" w:rsidRPr="00343D31" w:rsidRDefault="00DE593D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58187785" w14:textId="77777777" w:rsidR="00DE593D" w:rsidRPr="00343D31" w:rsidRDefault="00DE593D" w:rsidP="00DE593D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343D31">
        <w:rPr>
          <w:rFonts w:ascii="Calibri" w:hAnsi="Calibri" w:cs="Tahoma"/>
          <w:sz w:val="20"/>
          <w:szCs w:val="20"/>
          <w:lang w:val="hr-HR"/>
        </w:rPr>
        <w:t>Nadalje, kandidati su upoznati da se njihovi osobni podaci neće obrađivati na način koji nije u skladu s navedenom svrhom i pozitivnim propisima europskog i nacionalnog prava.</w:t>
      </w:r>
    </w:p>
    <w:p w14:paraId="59597891" w14:textId="77777777" w:rsidR="00DE593D" w:rsidRPr="00343D31" w:rsidRDefault="00DE593D" w:rsidP="00DE593D">
      <w:pPr>
        <w:rPr>
          <w:rFonts w:ascii="Calibri" w:hAnsi="Calibri" w:cs="Tahoma"/>
          <w:sz w:val="20"/>
          <w:szCs w:val="20"/>
          <w:lang w:val="hr-HR"/>
        </w:rPr>
      </w:pPr>
    </w:p>
    <w:p w14:paraId="232DBEF5" w14:textId="2D0394F9" w:rsidR="001812D3" w:rsidRPr="001812D3" w:rsidRDefault="00DE593D" w:rsidP="001812D3">
      <w:pPr>
        <w:shd w:val="clear" w:color="auto" w:fill="99CCFF"/>
        <w:rPr>
          <w:rFonts w:ascii="Calibri" w:hAnsi="Calibri" w:cs="Tahoma"/>
          <w:b/>
          <w:sz w:val="20"/>
          <w:szCs w:val="20"/>
          <w:lang w:val="hr-HR"/>
        </w:rPr>
      </w:pPr>
      <w:r w:rsidRPr="00343D31">
        <w:rPr>
          <w:rFonts w:ascii="Calibri" w:hAnsi="Calibri" w:cs="Tahoma"/>
          <w:b/>
          <w:sz w:val="20"/>
          <w:szCs w:val="20"/>
          <w:lang w:val="hr-HR"/>
        </w:rPr>
        <w:t>K Kontakt za dodatne upite</w:t>
      </w:r>
    </w:p>
    <w:p w14:paraId="524B1D33" w14:textId="77777777" w:rsidR="001812D3" w:rsidRDefault="001812D3" w:rsidP="00215A96">
      <w:pPr>
        <w:pStyle w:val="BodyA"/>
        <w:jc w:val="both"/>
        <w:rPr>
          <w:rFonts w:ascii="Source Sans Pro" w:eastAsia="Source Sans Pro" w:hAnsi="Source Sans Pro" w:cs="Source Sans Pro"/>
          <w:lang w:val="hr-HR"/>
        </w:rPr>
      </w:pPr>
    </w:p>
    <w:p w14:paraId="5F249C5F" w14:textId="21018C13" w:rsidR="004F3FFA" w:rsidRDefault="001812D3" w:rsidP="00215A96">
      <w:pPr>
        <w:pStyle w:val="BodyA"/>
        <w:jc w:val="both"/>
        <w:rPr>
          <w:rFonts w:ascii="Source Sans Pro" w:eastAsia="Source Sans Pro" w:hAnsi="Source Sans Pro" w:cs="Source Sans Pro"/>
          <w:lang w:val="hr-HR"/>
        </w:rPr>
      </w:pPr>
      <w:r w:rsidRPr="001812D3">
        <w:rPr>
          <w:rFonts w:ascii="Source Sans Pro" w:eastAsia="Source Sans Pro" w:hAnsi="Source Sans Pro" w:cs="Source Sans Pro"/>
          <w:lang w:val="hr-HR"/>
        </w:rPr>
        <w:t>Marija Spevan</w:t>
      </w:r>
      <w:r>
        <w:rPr>
          <w:rFonts w:ascii="Source Sans Pro" w:eastAsia="Source Sans Pro" w:hAnsi="Source Sans Pro" w:cs="Source Sans Pro"/>
          <w:lang w:val="hr-HR"/>
        </w:rPr>
        <w:t>, Erasmus koordinator</w:t>
      </w:r>
    </w:p>
    <w:p w14:paraId="3FB2A427" w14:textId="08D788BD" w:rsidR="001812D3" w:rsidRDefault="007D4F94" w:rsidP="00215A96">
      <w:pPr>
        <w:pStyle w:val="BodyA"/>
        <w:jc w:val="both"/>
        <w:rPr>
          <w:rFonts w:ascii="Source Sans Pro" w:eastAsia="Source Sans Pro" w:hAnsi="Source Sans Pro" w:cs="Source Sans Pro"/>
          <w:lang w:val="hr-HR"/>
        </w:rPr>
      </w:pPr>
      <w:hyperlink r:id="rId12" w:history="1">
        <w:r w:rsidR="001812D3" w:rsidRPr="000163E1">
          <w:rPr>
            <w:rStyle w:val="Hyperlink"/>
            <w:rFonts w:ascii="Source Sans Pro" w:eastAsia="Source Sans Pro" w:hAnsi="Source Sans Pro" w:cs="Source Sans Pro"/>
            <w:lang w:val="hr-HR"/>
          </w:rPr>
          <w:t>mspevan@uniri.hr</w:t>
        </w:r>
      </w:hyperlink>
      <w:r w:rsidR="001812D3">
        <w:rPr>
          <w:rFonts w:ascii="Source Sans Pro" w:eastAsia="Source Sans Pro" w:hAnsi="Source Sans Pro" w:cs="Source Sans Pro"/>
          <w:lang w:val="hr-HR"/>
        </w:rPr>
        <w:t xml:space="preserve"> </w:t>
      </w:r>
    </w:p>
    <w:p w14:paraId="4FA56A3D" w14:textId="3838B385" w:rsidR="001812D3" w:rsidRDefault="001812D3" w:rsidP="00215A96">
      <w:pPr>
        <w:pStyle w:val="BodyA"/>
        <w:jc w:val="both"/>
        <w:rPr>
          <w:rFonts w:ascii="Source Sans Pro" w:eastAsia="Source Sans Pro" w:hAnsi="Source Sans Pro" w:cs="Source Sans Pro"/>
          <w:lang w:val="hr-HR"/>
        </w:rPr>
      </w:pPr>
    </w:p>
    <w:p w14:paraId="75D75B09" w14:textId="53676A07" w:rsidR="001812D3" w:rsidRPr="00343D31" w:rsidRDefault="001812D3" w:rsidP="00215A96">
      <w:pPr>
        <w:pStyle w:val="BodyA"/>
        <w:jc w:val="both"/>
        <w:rPr>
          <w:rFonts w:ascii="Source Sans Pro" w:eastAsia="Source Sans Pro" w:hAnsi="Source Sans Pro" w:cs="Source Sans Pro"/>
          <w:lang w:val="hr-HR"/>
        </w:rPr>
      </w:pPr>
      <w:r w:rsidRPr="00557F2A">
        <w:rPr>
          <w:rFonts w:ascii="Source Sans Pro" w:eastAsia="Source Sans Pro" w:hAnsi="Source Sans Pro" w:cs="Source Sans Pro"/>
          <w:noProof/>
        </w:rPr>
        <w:drawing>
          <wp:anchor distT="0" distB="0" distL="114300" distR="114300" simplePos="0" relativeHeight="251659264" behindDoc="1" locked="0" layoutInCell="1" allowOverlap="1" wp14:anchorId="5A1C0C66" wp14:editId="53E03466">
            <wp:simplePos x="0" y="0"/>
            <wp:positionH relativeFrom="column">
              <wp:posOffset>4718050</wp:posOffset>
            </wp:positionH>
            <wp:positionV relativeFrom="paragraph">
              <wp:posOffset>136525</wp:posOffset>
            </wp:positionV>
            <wp:extent cx="1055370" cy="5911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 plus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7F2A">
        <w:rPr>
          <w:rFonts w:ascii="Source Sans Pro" w:eastAsia="Source Sans Pro" w:hAnsi="Source Sans Pro" w:cs="Source Sans Pro"/>
          <w:noProof/>
        </w:rPr>
        <w:drawing>
          <wp:anchor distT="0" distB="0" distL="114300" distR="114300" simplePos="0" relativeHeight="251660288" behindDoc="1" locked="0" layoutInCell="1" allowOverlap="1" wp14:anchorId="0E235D06" wp14:editId="4B74A407">
            <wp:simplePos x="0" y="0"/>
            <wp:positionH relativeFrom="column">
              <wp:posOffset>-28575</wp:posOffset>
            </wp:positionH>
            <wp:positionV relativeFrom="paragraph">
              <wp:posOffset>240030</wp:posOffset>
            </wp:positionV>
            <wp:extent cx="1055370" cy="37338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34006671_ampeu-logo-en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373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812D3" w:rsidRPr="00343D31" w:rsidSect="000B0482">
      <w:headerReference w:type="default" r:id="rId15"/>
      <w:footerReference w:type="default" r:id="rId16"/>
      <w:pgSz w:w="11900" w:h="16840"/>
      <w:pgMar w:top="2722" w:right="1701" w:bottom="1701" w:left="1418" w:header="1587" w:footer="10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A621A" w14:textId="77777777" w:rsidR="007D4F94" w:rsidRDefault="007D4F94">
      <w:r>
        <w:separator/>
      </w:r>
    </w:p>
  </w:endnote>
  <w:endnote w:type="continuationSeparator" w:id="0">
    <w:p w14:paraId="439FB7E5" w14:textId="77777777" w:rsidR="007D4F94" w:rsidRDefault="007D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9037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A59A56" w14:textId="1F94CB82" w:rsidR="00655F08" w:rsidRDefault="00655F08">
        <w:pPr>
          <w:pStyle w:val="Footer"/>
          <w:jc w:val="center"/>
        </w:pPr>
        <w:r w:rsidRPr="00655F08">
          <w:rPr>
            <w:rFonts w:ascii="Calibri" w:hAnsi="Calibri" w:cs="Calibri"/>
            <w:sz w:val="20"/>
            <w:szCs w:val="20"/>
          </w:rPr>
          <w:fldChar w:fldCharType="begin"/>
        </w:r>
        <w:r w:rsidRPr="00655F08">
          <w:rPr>
            <w:rFonts w:ascii="Calibri" w:hAnsi="Calibri" w:cs="Calibri"/>
            <w:sz w:val="20"/>
            <w:szCs w:val="20"/>
          </w:rPr>
          <w:instrText xml:space="preserve"> PAGE   \* MERGEFORMAT </w:instrText>
        </w:r>
        <w:r w:rsidRPr="00655F08">
          <w:rPr>
            <w:rFonts w:ascii="Calibri" w:hAnsi="Calibri" w:cs="Calibri"/>
            <w:sz w:val="20"/>
            <w:szCs w:val="20"/>
          </w:rPr>
          <w:fldChar w:fldCharType="separate"/>
        </w:r>
        <w:r w:rsidR="009D3FF3">
          <w:rPr>
            <w:rFonts w:ascii="Calibri" w:hAnsi="Calibri" w:cs="Calibri"/>
            <w:noProof/>
            <w:sz w:val="20"/>
            <w:szCs w:val="20"/>
          </w:rPr>
          <w:t>5</w:t>
        </w:r>
        <w:r w:rsidRPr="00655F08">
          <w:rPr>
            <w:rFonts w:ascii="Calibri" w:hAnsi="Calibri" w:cs="Calibri"/>
            <w:noProof/>
            <w:sz w:val="20"/>
            <w:szCs w:val="20"/>
          </w:rPr>
          <w:fldChar w:fldCharType="end"/>
        </w:r>
      </w:p>
    </w:sdtContent>
  </w:sdt>
  <w:p w14:paraId="4B6C8D3A" w14:textId="16E7188D" w:rsidR="0016188E" w:rsidRDefault="0016188E" w:rsidP="004F3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A91EE" w14:textId="77777777" w:rsidR="007D4F94" w:rsidRDefault="007D4F94">
      <w:r>
        <w:separator/>
      </w:r>
    </w:p>
  </w:footnote>
  <w:footnote w:type="continuationSeparator" w:id="0">
    <w:p w14:paraId="4229A0C6" w14:textId="77777777" w:rsidR="007D4F94" w:rsidRDefault="007D4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C0D3" w14:textId="6659BF15" w:rsidR="0016188E" w:rsidRDefault="004F3FFA" w:rsidP="004F3FFA">
    <w:pPr>
      <w:pStyle w:val="Body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89ECA32" wp14:editId="43619132">
          <wp:simplePos x="0" y="0"/>
          <wp:positionH relativeFrom="page">
            <wp:posOffset>6445770</wp:posOffset>
          </wp:positionH>
          <wp:positionV relativeFrom="page">
            <wp:posOffset>539646</wp:posOffset>
          </wp:positionV>
          <wp:extent cx="777239" cy="2058303"/>
          <wp:effectExtent l="0" t="0" r="10795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NIRI_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" cy="20583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9FB">
      <w:rPr>
        <w:noProof/>
      </w:rPr>
      <w:drawing>
        <wp:inline distT="0" distB="0" distL="0" distR="0" wp14:anchorId="1C04708F" wp14:editId="715ECEF3">
          <wp:extent cx="3498083" cy="36360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8083" cy="3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083785" w14:textId="77777777" w:rsidR="0016188E" w:rsidRDefault="00980D7B">
    <w:pPr>
      <w:pStyle w:val="Body"/>
      <w:ind w:left="227"/>
    </w:pPr>
    <w:r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50E1"/>
    <w:multiLevelType w:val="hybridMultilevel"/>
    <w:tmpl w:val="ED0A552C"/>
    <w:lvl w:ilvl="0" w:tplc="D91455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27432"/>
    <w:multiLevelType w:val="hybridMultilevel"/>
    <w:tmpl w:val="FD9E4E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425DC2"/>
    <w:multiLevelType w:val="hybridMultilevel"/>
    <w:tmpl w:val="AAFC16D0"/>
    <w:lvl w:ilvl="0" w:tplc="94C00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5D1A5B"/>
    <w:multiLevelType w:val="hybridMultilevel"/>
    <w:tmpl w:val="8A846DC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040A10"/>
    <w:multiLevelType w:val="hybridMultilevel"/>
    <w:tmpl w:val="3BC2F5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8E"/>
    <w:rsid w:val="000040EA"/>
    <w:rsid w:val="0004112A"/>
    <w:rsid w:val="000631E4"/>
    <w:rsid w:val="00070239"/>
    <w:rsid w:val="00082051"/>
    <w:rsid w:val="00083E00"/>
    <w:rsid w:val="00084215"/>
    <w:rsid w:val="000A6DB3"/>
    <w:rsid w:val="000A7FF2"/>
    <w:rsid w:val="000B0482"/>
    <w:rsid w:val="000C1C09"/>
    <w:rsid w:val="000C67B5"/>
    <w:rsid w:val="000E64E8"/>
    <w:rsid w:val="00125BA6"/>
    <w:rsid w:val="00161530"/>
    <w:rsid w:val="0016188E"/>
    <w:rsid w:val="001812D3"/>
    <w:rsid w:val="00195842"/>
    <w:rsid w:val="001A4847"/>
    <w:rsid w:val="001D2298"/>
    <w:rsid w:val="00205A46"/>
    <w:rsid w:val="00215A96"/>
    <w:rsid w:val="00231AD5"/>
    <w:rsid w:val="00243D3C"/>
    <w:rsid w:val="002649B2"/>
    <w:rsid w:val="002A19DB"/>
    <w:rsid w:val="002C2645"/>
    <w:rsid w:val="002C7ECA"/>
    <w:rsid w:val="002E330F"/>
    <w:rsid w:val="002F4CD5"/>
    <w:rsid w:val="003223E0"/>
    <w:rsid w:val="003364A8"/>
    <w:rsid w:val="003431BD"/>
    <w:rsid w:val="00343D31"/>
    <w:rsid w:val="00380DC2"/>
    <w:rsid w:val="003B7370"/>
    <w:rsid w:val="003C2372"/>
    <w:rsid w:val="003E6B8C"/>
    <w:rsid w:val="004033D7"/>
    <w:rsid w:val="00406C9D"/>
    <w:rsid w:val="004106AB"/>
    <w:rsid w:val="004740C8"/>
    <w:rsid w:val="00477296"/>
    <w:rsid w:val="0048736F"/>
    <w:rsid w:val="004A1D59"/>
    <w:rsid w:val="004A596E"/>
    <w:rsid w:val="004C0655"/>
    <w:rsid w:val="004C51FB"/>
    <w:rsid w:val="004E37A3"/>
    <w:rsid w:val="004F0EC9"/>
    <w:rsid w:val="004F3FFA"/>
    <w:rsid w:val="00542AA3"/>
    <w:rsid w:val="00554064"/>
    <w:rsid w:val="00557F2A"/>
    <w:rsid w:val="00561EB7"/>
    <w:rsid w:val="00595CF1"/>
    <w:rsid w:val="005C5BA2"/>
    <w:rsid w:val="005D4C28"/>
    <w:rsid w:val="006063C0"/>
    <w:rsid w:val="006151C0"/>
    <w:rsid w:val="006260EB"/>
    <w:rsid w:val="00634248"/>
    <w:rsid w:val="006408B0"/>
    <w:rsid w:val="006469FB"/>
    <w:rsid w:val="00646E10"/>
    <w:rsid w:val="00655F08"/>
    <w:rsid w:val="00666547"/>
    <w:rsid w:val="00695124"/>
    <w:rsid w:val="006A4DE3"/>
    <w:rsid w:val="00706692"/>
    <w:rsid w:val="00735CAC"/>
    <w:rsid w:val="00756FE7"/>
    <w:rsid w:val="00763596"/>
    <w:rsid w:val="00764149"/>
    <w:rsid w:val="007719C2"/>
    <w:rsid w:val="00786E1C"/>
    <w:rsid w:val="007C6B97"/>
    <w:rsid w:val="007C7C03"/>
    <w:rsid w:val="007D4F94"/>
    <w:rsid w:val="0080489C"/>
    <w:rsid w:val="0089108B"/>
    <w:rsid w:val="008C6917"/>
    <w:rsid w:val="008C76BF"/>
    <w:rsid w:val="00910746"/>
    <w:rsid w:val="00914EA7"/>
    <w:rsid w:val="00930B67"/>
    <w:rsid w:val="00932A2C"/>
    <w:rsid w:val="00946B19"/>
    <w:rsid w:val="00976CDB"/>
    <w:rsid w:val="00980D7B"/>
    <w:rsid w:val="009B7D61"/>
    <w:rsid w:val="009C7DA3"/>
    <w:rsid w:val="009D3FF3"/>
    <w:rsid w:val="009E4A68"/>
    <w:rsid w:val="009F7181"/>
    <w:rsid w:val="00A212C3"/>
    <w:rsid w:val="00A47C87"/>
    <w:rsid w:val="00A525CB"/>
    <w:rsid w:val="00AC7151"/>
    <w:rsid w:val="00B03DB3"/>
    <w:rsid w:val="00B205C3"/>
    <w:rsid w:val="00B6610B"/>
    <w:rsid w:val="00BD7D08"/>
    <w:rsid w:val="00C00ED7"/>
    <w:rsid w:val="00C33664"/>
    <w:rsid w:val="00C34508"/>
    <w:rsid w:val="00C610FB"/>
    <w:rsid w:val="00C75E1E"/>
    <w:rsid w:val="00C77112"/>
    <w:rsid w:val="00D0474E"/>
    <w:rsid w:val="00D2068B"/>
    <w:rsid w:val="00D20C9B"/>
    <w:rsid w:val="00D23ED7"/>
    <w:rsid w:val="00D321F4"/>
    <w:rsid w:val="00D85FBA"/>
    <w:rsid w:val="00D93B18"/>
    <w:rsid w:val="00DA4AB7"/>
    <w:rsid w:val="00DC60E2"/>
    <w:rsid w:val="00DD19DB"/>
    <w:rsid w:val="00DE593D"/>
    <w:rsid w:val="00E50D2B"/>
    <w:rsid w:val="00E96776"/>
    <w:rsid w:val="00EA036D"/>
    <w:rsid w:val="00EA1739"/>
    <w:rsid w:val="00EA7738"/>
    <w:rsid w:val="00EB5D54"/>
    <w:rsid w:val="00EC7A1B"/>
    <w:rsid w:val="00F45B98"/>
    <w:rsid w:val="00F53FE2"/>
    <w:rsid w:val="00F72671"/>
    <w:rsid w:val="00F76553"/>
    <w:rsid w:val="00FB6798"/>
    <w:rsid w:val="00FC0BA3"/>
    <w:rsid w:val="00F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B9F48"/>
  <w15:docId w15:val="{CDA2D20E-849C-4EBC-BD03-DF497EA7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link w:val="FooterChar"/>
    <w:uiPriority w:val="99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D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D08"/>
    <w:rPr>
      <w:rFonts w:ascii="Tahoma" w:hAnsi="Tahoma" w:cs="Tahoma"/>
      <w:sz w:val="16"/>
      <w:szCs w:val="16"/>
    </w:rPr>
  </w:style>
  <w:style w:type="character" w:styleId="Strong">
    <w:name w:val="Strong"/>
    <w:qFormat/>
    <w:rsid w:val="00DE593D"/>
    <w:rPr>
      <w:b/>
      <w:bCs/>
    </w:rPr>
  </w:style>
  <w:style w:type="paragraph" w:customStyle="1" w:styleId="Default">
    <w:name w:val="Default"/>
    <w:rsid w:val="00343D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55F08"/>
    <w:rPr>
      <w:rFonts w:eastAsia="Times New Roman"/>
      <w:color w:val="000000"/>
      <w:sz w:val="24"/>
      <w:szCs w:val="24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181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lnost.hr" TargetMode="Externa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spevan@uniri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ri.h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zsri.uniri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ri.hr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1C6DC5-78F8-4138-8E44-C76EBA3D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Sveučilište u Rijeci</Company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Maša Šašinka</dc:creator>
  <cp:lastModifiedBy>Marija Spevan</cp:lastModifiedBy>
  <cp:revision>3</cp:revision>
  <cp:lastPrinted>2019-02-11T16:20:00Z</cp:lastPrinted>
  <dcterms:created xsi:type="dcterms:W3CDTF">2023-12-05T11:36:00Z</dcterms:created>
  <dcterms:modified xsi:type="dcterms:W3CDTF">2023-12-06T07:46:00Z</dcterms:modified>
</cp:coreProperties>
</file>