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3944" w14:textId="7CA94AD6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772CB4">
            <w:rPr>
              <w:rStyle w:val="Style28"/>
            </w:rPr>
            <w:t>1</w:t>
          </w:r>
          <w:r w:rsidR="008657F6">
            <w:rPr>
              <w:rStyle w:val="Style28"/>
            </w:rPr>
            <w:t>4</w:t>
          </w:r>
          <w:r w:rsidR="00772CB4">
            <w:rPr>
              <w:rStyle w:val="Style28"/>
            </w:rPr>
            <w:t>.rujna 202</w:t>
          </w:r>
          <w:r w:rsidR="008657F6">
            <w:rPr>
              <w:rStyle w:val="Style28"/>
            </w:rPr>
            <w:t>3</w:t>
          </w:r>
          <w:r w:rsidR="00062725">
            <w:rPr>
              <w:rStyle w:val="Style28"/>
            </w:rPr>
            <w:t>.</w:t>
          </w:r>
        </w:sdtContent>
      </w:sdt>
    </w:p>
    <w:p w14:paraId="5909CCF4" w14:textId="77777777" w:rsidR="005C2F41" w:rsidRPr="00CD3F31" w:rsidRDefault="005C2F41" w:rsidP="005C2F41">
      <w:pPr>
        <w:rPr>
          <w:rFonts w:cs="Arial"/>
        </w:rPr>
      </w:pPr>
    </w:p>
    <w:p w14:paraId="68089204" w14:textId="08FC3713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F84B04">
            <w:rPr>
              <w:rStyle w:val="Style29"/>
            </w:rPr>
            <w:t xml:space="preserve">Osnove </w:t>
          </w:r>
          <w:proofErr w:type="spellStart"/>
          <w:r w:rsidR="00F84B04">
            <w:rPr>
              <w:rStyle w:val="Style29"/>
            </w:rPr>
            <w:t>instrumentiranja</w:t>
          </w:r>
          <w:proofErr w:type="spellEnd"/>
          <w:r w:rsidR="00F84B04">
            <w:rPr>
              <w:rStyle w:val="Style29"/>
            </w:rPr>
            <w:t xml:space="preserve"> u ginekologiji i </w:t>
          </w:r>
          <w:proofErr w:type="spellStart"/>
          <w:r w:rsidR="00F84B04">
            <w:rPr>
              <w:rStyle w:val="Style29"/>
            </w:rPr>
            <w:t>porodništvu</w:t>
          </w:r>
          <w:proofErr w:type="spellEnd"/>
        </w:sdtContent>
      </w:sdt>
    </w:p>
    <w:p w14:paraId="2BD69A71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2EFA59C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FA2B1D">
            <w:rPr>
              <w:rStyle w:val="Style52"/>
            </w:rPr>
            <w:t>Damir Ćerimagić</w:t>
          </w:r>
        </w:sdtContent>
      </w:sdt>
    </w:p>
    <w:p w14:paraId="1EB1333B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F0724F2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062725">
            <w:rPr>
              <w:rStyle w:val="Style22"/>
            </w:rPr>
            <w:t>Katedra za primaljstvo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20210878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Content>
          <w:r w:rsidR="00062725">
            <w:rPr>
              <w:rFonts w:cs="Arial"/>
              <w:b/>
              <w:color w:val="000000" w:themeColor="text1"/>
            </w:rPr>
            <w:t>Prediplomski stručni studij</w:t>
          </w:r>
        </w:sdtContent>
      </w:sdt>
    </w:p>
    <w:p w14:paraId="2E4EB20C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1C1130A8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5A845CA5" w14:textId="77777777" w:rsidR="00BF53C9" w:rsidRPr="00CD3F31" w:rsidRDefault="00000000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Content>
          <w:r w:rsidR="00062725">
            <w:rPr>
              <w:rStyle w:val="Style24"/>
            </w:rPr>
            <w:t>Primaljstvo redovni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22E307F3" w14:textId="77777777" w:rsidR="00BF53C9" w:rsidRPr="00CD3F31" w:rsidRDefault="00062725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Primaljstvo</w:t>
          </w:r>
        </w:p>
      </w:sdtContent>
    </w:sdt>
    <w:p w14:paraId="7AB4BF3A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03191EFE" w14:textId="601D3744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F84B04">
            <w:rPr>
              <w:rStyle w:val="Style9"/>
            </w:rPr>
            <w:t>3</w:t>
          </w:r>
        </w:sdtContent>
      </w:sdt>
    </w:p>
    <w:p w14:paraId="75C6A0C1" w14:textId="3C01762A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062725">
            <w:rPr>
              <w:rStyle w:val="Style39"/>
            </w:rPr>
            <w:t>20</w:t>
          </w:r>
          <w:r w:rsidR="00DA440F">
            <w:rPr>
              <w:rStyle w:val="Style39"/>
            </w:rPr>
            <w:t>2</w:t>
          </w:r>
          <w:r w:rsidR="008657F6">
            <w:rPr>
              <w:rStyle w:val="Style39"/>
            </w:rPr>
            <w:t>3</w:t>
          </w:r>
          <w:r w:rsidR="00062725">
            <w:rPr>
              <w:rStyle w:val="Style39"/>
            </w:rPr>
            <w:t>./202</w:t>
          </w:r>
          <w:r w:rsidR="008657F6">
            <w:rPr>
              <w:rStyle w:val="Style39"/>
            </w:rPr>
            <w:t>4</w:t>
          </w:r>
          <w:r w:rsidR="00062725">
            <w:rPr>
              <w:rStyle w:val="Style39"/>
            </w:rPr>
            <w:t>.</w:t>
          </w:r>
        </w:sdtContent>
      </w:sdt>
    </w:p>
    <w:p w14:paraId="60120BF1" w14:textId="77777777" w:rsidR="00C92590" w:rsidRPr="00CD3F31" w:rsidRDefault="00C92590" w:rsidP="00C92590">
      <w:pPr>
        <w:spacing w:after="0"/>
        <w:rPr>
          <w:rFonts w:cs="Arial"/>
        </w:rPr>
      </w:pPr>
    </w:p>
    <w:p w14:paraId="2F6108D3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89C4C30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F23967E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1EDB7E9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513D6E" w14:textId="339F50A4" w:rsidR="00062725" w:rsidRPr="00062725" w:rsidRDefault="00062725" w:rsidP="00062725">
                <w:pPr>
                  <w:pStyle w:val="Default"/>
                  <w:rPr>
                    <w:rStyle w:val="Style54"/>
                    <w:lang w:val="hr-HR"/>
                  </w:rPr>
                </w:pPr>
                <w:r w:rsidRPr="00062725">
                  <w:rPr>
                    <w:rStyle w:val="Style54"/>
                    <w:b/>
                    <w:bCs/>
                    <w:lang w:val="hr-HR"/>
                  </w:rPr>
                  <w:t>Kolegij</w:t>
                </w:r>
                <w:r w:rsidR="00F84B04">
                  <w:rPr>
                    <w:rStyle w:val="Style54"/>
                    <w:b/>
                    <w:bCs/>
                    <w:lang w:val="hr-HR"/>
                  </w:rPr>
                  <w:t xml:space="preserve"> „Osnove </w:t>
                </w:r>
                <w:proofErr w:type="spellStart"/>
                <w:r w:rsidR="00F84B04">
                  <w:rPr>
                    <w:rStyle w:val="Style54"/>
                    <w:b/>
                    <w:bCs/>
                    <w:lang w:val="hr-HR"/>
                  </w:rPr>
                  <w:t>instrumentiranja</w:t>
                </w:r>
                <w:proofErr w:type="spellEnd"/>
                <w:r w:rsidR="00F84B04">
                  <w:rPr>
                    <w:rStyle w:val="Style54"/>
                    <w:b/>
                    <w:bCs/>
                    <w:lang w:val="hr-HR"/>
                  </w:rPr>
                  <w:t xml:space="preserve"> u ginekologiji i </w:t>
                </w:r>
                <w:proofErr w:type="spellStart"/>
                <w:r w:rsidR="00F84B04">
                  <w:rPr>
                    <w:rStyle w:val="Style54"/>
                    <w:b/>
                    <w:bCs/>
                    <w:lang w:val="hr-HR"/>
                  </w:rPr>
                  <w:t>porodništvu</w:t>
                </w:r>
                <w:proofErr w:type="spellEnd"/>
                <w:r w:rsidR="00F84B04">
                  <w:rPr>
                    <w:rStyle w:val="Style54"/>
                    <w:b/>
                    <w:bCs/>
                    <w:lang w:val="hr-HR"/>
                  </w:rPr>
                  <w:t>“</w:t>
                </w:r>
                <w:r w:rsidRPr="00062725">
                  <w:rPr>
                    <w:rStyle w:val="Style54"/>
                    <w:b/>
                    <w:bCs/>
                    <w:lang w:val="hr-HR"/>
                  </w:rPr>
                  <w:t xml:space="preserve"> </w:t>
                </w:r>
                <w:r w:rsidRPr="00062725">
                  <w:rPr>
                    <w:rStyle w:val="Style54"/>
                    <w:lang w:val="hr-HR"/>
                  </w:rPr>
                  <w:t xml:space="preserve">je  </w:t>
                </w:r>
                <w:r w:rsidR="00F84B04">
                  <w:rPr>
                    <w:rStyle w:val="Style54"/>
                    <w:lang w:val="hr-HR"/>
                  </w:rPr>
                  <w:t>izborni</w:t>
                </w:r>
                <w:r w:rsidRPr="00062725">
                  <w:rPr>
                    <w:rStyle w:val="Style54"/>
                    <w:lang w:val="hr-HR"/>
                  </w:rPr>
                  <w:t xml:space="preserve"> kolegij na </w:t>
                </w:r>
                <w:r w:rsidR="00F84B04">
                  <w:rPr>
                    <w:rStyle w:val="Style54"/>
                    <w:lang w:val="hr-HR"/>
                  </w:rPr>
                  <w:t xml:space="preserve">trećoj </w:t>
                </w:r>
                <w:r w:rsidRPr="00062725">
                  <w:rPr>
                    <w:rStyle w:val="Style54"/>
                    <w:lang w:val="hr-HR"/>
                  </w:rPr>
                  <w:t xml:space="preserve">godini Stručnog studija primaljstva koji se sastoji od </w:t>
                </w:r>
              </w:p>
              <w:p w14:paraId="0EAEA71D" w14:textId="73B5F853" w:rsidR="00062725" w:rsidRPr="00062725" w:rsidRDefault="00062725" w:rsidP="00062725">
                <w:pPr>
                  <w:pStyle w:val="Default"/>
                  <w:rPr>
                    <w:rStyle w:val="Style54"/>
                    <w:lang w:val="hr-HR"/>
                  </w:rPr>
                </w:pPr>
                <w:r w:rsidRPr="00062725">
                  <w:rPr>
                    <w:rStyle w:val="Style54"/>
                    <w:lang w:val="hr-HR"/>
                  </w:rPr>
                  <w:t>30 sati nastave odnosno</w:t>
                </w:r>
                <w:r w:rsidR="00F84B04">
                  <w:rPr>
                    <w:rStyle w:val="Style54"/>
                    <w:lang w:val="hr-HR"/>
                  </w:rPr>
                  <w:t xml:space="preserve"> 15 sati </w:t>
                </w:r>
                <w:r w:rsidRPr="00062725">
                  <w:rPr>
                    <w:rStyle w:val="Style54"/>
                    <w:lang w:val="hr-HR"/>
                  </w:rPr>
                  <w:t>predavanja</w:t>
                </w:r>
                <w:r w:rsidR="00F84B04">
                  <w:rPr>
                    <w:rStyle w:val="Style54"/>
                    <w:lang w:val="hr-HR"/>
                  </w:rPr>
                  <w:t xml:space="preserve"> i 15 sati vježbi</w:t>
                </w:r>
                <w:r w:rsidRPr="00062725">
                  <w:rPr>
                    <w:rStyle w:val="Style54"/>
                    <w:lang w:val="hr-HR"/>
                  </w:rPr>
                  <w:t xml:space="preserve"> (ECTS 2).</w:t>
                </w:r>
              </w:p>
              <w:p w14:paraId="5D4DCAA4" w14:textId="77777777" w:rsidR="00062725" w:rsidRPr="00062725" w:rsidRDefault="00062725" w:rsidP="00062725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0C63DDE2" w14:textId="77777777" w:rsidR="00062725" w:rsidRDefault="00062725" w:rsidP="00062725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6E43D495" w14:textId="2DA717CB" w:rsidR="00062725" w:rsidRPr="00062725" w:rsidRDefault="00062725" w:rsidP="00062725">
                <w:pPr>
                  <w:pStyle w:val="Default"/>
                  <w:rPr>
                    <w:rStyle w:val="Style54"/>
                    <w:lang w:val="hr-HR"/>
                  </w:rPr>
                </w:pPr>
                <w:r w:rsidRPr="00062725">
                  <w:rPr>
                    <w:rStyle w:val="Style54"/>
                    <w:b/>
                    <w:bCs/>
                    <w:lang w:val="hr-HR"/>
                  </w:rPr>
                  <w:t>Cilj kolegija:</w:t>
                </w:r>
                <w:r w:rsidRPr="00062725">
                  <w:rPr>
                    <w:rStyle w:val="Style54"/>
                    <w:lang w:val="hr-HR"/>
                  </w:rPr>
                  <w:t xml:space="preserve"> Upoznati studente sa</w:t>
                </w:r>
                <w:r w:rsidR="00F84B04">
                  <w:rPr>
                    <w:rStyle w:val="Style54"/>
                    <w:lang w:val="hr-HR"/>
                  </w:rPr>
                  <w:t xml:space="preserve"> kirurškim instrumentima  i materijalima koji se koriste prilikom zahvata u ginekologiji i </w:t>
                </w:r>
                <w:proofErr w:type="spellStart"/>
                <w:r w:rsidR="00F84B04">
                  <w:rPr>
                    <w:rStyle w:val="Style54"/>
                    <w:lang w:val="hr-HR"/>
                  </w:rPr>
                  <w:t>opstetriciji</w:t>
                </w:r>
                <w:proofErr w:type="spellEnd"/>
                <w:r w:rsidR="00F84B04">
                  <w:rPr>
                    <w:rStyle w:val="Style54"/>
                    <w:lang w:val="hr-HR"/>
                  </w:rPr>
                  <w:t xml:space="preserve"> te sa organizacijom</w:t>
                </w:r>
                <w:r w:rsidR="00812807">
                  <w:rPr>
                    <w:rStyle w:val="Style54"/>
                    <w:lang w:val="hr-HR"/>
                  </w:rPr>
                  <w:t xml:space="preserve"> i tehničkom pripremom</w:t>
                </w:r>
                <w:r w:rsidR="00F84B04">
                  <w:rPr>
                    <w:rStyle w:val="Style54"/>
                    <w:lang w:val="hr-HR"/>
                  </w:rPr>
                  <w:t xml:space="preserve"> operacijske sale te principima </w:t>
                </w:r>
                <w:proofErr w:type="spellStart"/>
                <w:r w:rsidR="00F84B04">
                  <w:rPr>
                    <w:rStyle w:val="Style54"/>
                    <w:lang w:val="hr-HR"/>
                  </w:rPr>
                  <w:t>kiruške</w:t>
                </w:r>
                <w:proofErr w:type="spellEnd"/>
                <w:r w:rsidR="00F84B04">
                  <w:rPr>
                    <w:rStyle w:val="Style54"/>
                    <w:lang w:val="hr-HR"/>
                  </w:rPr>
                  <w:t xml:space="preserve"> </w:t>
                </w:r>
                <w:proofErr w:type="spellStart"/>
                <w:r w:rsidR="00F84B04">
                  <w:rPr>
                    <w:rStyle w:val="Style54"/>
                    <w:lang w:val="hr-HR"/>
                  </w:rPr>
                  <w:t>asepse</w:t>
                </w:r>
                <w:proofErr w:type="spellEnd"/>
                <w:r w:rsidR="00F84B04">
                  <w:rPr>
                    <w:rStyle w:val="Style54"/>
                    <w:lang w:val="hr-HR"/>
                  </w:rPr>
                  <w:t xml:space="preserve"> i antisepse. </w:t>
                </w:r>
              </w:p>
              <w:p w14:paraId="3B3F3BC9" w14:textId="77777777" w:rsidR="00062725" w:rsidRPr="00062725" w:rsidRDefault="00062725" w:rsidP="00062725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2F847D46" w14:textId="6C485586" w:rsidR="00812807" w:rsidRDefault="00062725" w:rsidP="00812807">
                <w:pPr>
                  <w:pStyle w:val="Default"/>
                  <w:rPr>
                    <w:rStyle w:val="Style54"/>
                    <w:lang w:val="hr-HR"/>
                  </w:rPr>
                </w:pPr>
                <w:r w:rsidRPr="00062725">
                  <w:rPr>
                    <w:rStyle w:val="Style54"/>
                    <w:b/>
                    <w:bCs/>
                    <w:lang w:val="hr-HR"/>
                  </w:rPr>
                  <w:t>Sadržaj kolegija:</w:t>
                </w:r>
                <w:r w:rsidR="00812807">
                  <w:rPr>
                    <w:rStyle w:val="Style54"/>
                    <w:b/>
                    <w:bCs/>
                    <w:lang w:val="hr-HR"/>
                  </w:rPr>
                  <w:t xml:space="preserve"> </w:t>
                </w:r>
                <w:r w:rsidR="00812807">
                  <w:rPr>
                    <w:rStyle w:val="Style54"/>
                    <w:lang w:val="hr-HR"/>
                  </w:rPr>
                  <w:t>Studenti tr</w:t>
                </w:r>
                <w:r w:rsidR="00812807" w:rsidRPr="00812807">
                  <w:rPr>
                    <w:rStyle w:val="Style54"/>
                    <w:lang w:val="hr-HR"/>
                  </w:rPr>
                  <w:t>ebaju usvojiti znanja o tehničkoj pripremi sale i instrumenata za operacijsk</w:t>
                </w:r>
                <w:r w:rsidR="00812807">
                  <w:rPr>
                    <w:rStyle w:val="Style54"/>
                    <w:lang w:val="hr-HR"/>
                  </w:rPr>
                  <w:t>e</w:t>
                </w:r>
                <w:r w:rsidR="00812807" w:rsidRPr="00812807">
                  <w:rPr>
                    <w:rStyle w:val="Style54"/>
                    <w:lang w:val="hr-HR"/>
                  </w:rPr>
                  <w:t xml:space="preserve"> zahvat</w:t>
                </w:r>
                <w:r w:rsidR="00812807">
                  <w:rPr>
                    <w:rStyle w:val="Style54"/>
                    <w:lang w:val="hr-HR"/>
                  </w:rPr>
                  <w:t xml:space="preserve">e u ginekologiji i </w:t>
                </w:r>
                <w:proofErr w:type="spellStart"/>
                <w:r w:rsidR="00812807">
                  <w:rPr>
                    <w:rStyle w:val="Style54"/>
                    <w:lang w:val="hr-HR"/>
                  </w:rPr>
                  <w:t>opstetriciji</w:t>
                </w:r>
                <w:proofErr w:type="spellEnd"/>
                <w:r w:rsidR="00812807" w:rsidRPr="00812807">
                  <w:rPr>
                    <w:rStyle w:val="Style54"/>
                    <w:lang w:val="hr-HR"/>
                  </w:rPr>
                  <w:t>, o organizaciji rada u sali, održavanju ispravnosti instrumentarija te provođenju osnovnih mjera zaštite osoblja i bolesnika tijekom operacijskog zahvata</w:t>
                </w:r>
                <w:r w:rsidR="00812807">
                  <w:rPr>
                    <w:rStyle w:val="Style54"/>
                    <w:lang w:val="hr-HR"/>
                  </w:rPr>
                  <w:t>. U</w:t>
                </w:r>
                <w:r w:rsidR="00812807" w:rsidRPr="00812807">
                  <w:rPr>
                    <w:rStyle w:val="Style54"/>
                    <w:lang w:val="hr-HR"/>
                  </w:rPr>
                  <w:t xml:space="preserve">poznati se s materijalima koji se koriste u </w:t>
                </w:r>
                <w:r w:rsidR="00812807">
                  <w:rPr>
                    <w:rStyle w:val="Style54"/>
                    <w:lang w:val="hr-HR"/>
                  </w:rPr>
                  <w:t xml:space="preserve">ginekološkoj </w:t>
                </w:r>
                <w:r w:rsidR="00812807" w:rsidRPr="00812807">
                  <w:rPr>
                    <w:rStyle w:val="Style54"/>
                    <w:lang w:val="hr-HR"/>
                  </w:rPr>
                  <w:t xml:space="preserve">kirurgiji (instrumenti, elektronska i elektronička oprema, </w:t>
                </w:r>
                <w:proofErr w:type="spellStart"/>
                <w:r w:rsidR="00812807">
                  <w:rPr>
                    <w:rStyle w:val="Style54"/>
                    <w:lang w:val="hr-HR"/>
                  </w:rPr>
                  <w:t>laparoskopska</w:t>
                </w:r>
                <w:proofErr w:type="spellEnd"/>
                <w:r w:rsidR="00812807">
                  <w:rPr>
                    <w:rStyle w:val="Style54"/>
                    <w:lang w:val="hr-HR"/>
                  </w:rPr>
                  <w:t xml:space="preserve"> oprema</w:t>
                </w:r>
                <w:r w:rsidR="00812807" w:rsidRPr="00812807">
                  <w:rPr>
                    <w:rStyle w:val="Style54"/>
                    <w:lang w:val="hr-HR"/>
                  </w:rPr>
                  <w:t>, materijali za šivanje)</w:t>
                </w:r>
                <w:r w:rsidR="00812807">
                  <w:rPr>
                    <w:rStyle w:val="Style54"/>
                    <w:lang w:val="hr-HR"/>
                  </w:rPr>
                  <w:t xml:space="preserve">. Steći </w:t>
                </w:r>
                <w:r w:rsidR="00812807" w:rsidRPr="00812807">
                  <w:rPr>
                    <w:rStyle w:val="Style54"/>
                    <w:lang w:val="hr-HR"/>
                  </w:rPr>
                  <w:t>znanja o korištenju zaštitnih sredstava tijekom operacije i zaštiti osoblja od infekcije tijekom operacijskog zahvata</w:t>
                </w:r>
                <w:r w:rsidR="00812807">
                  <w:rPr>
                    <w:rStyle w:val="Style54"/>
                    <w:lang w:val="hr-HR"/>
                  </w:rPr>
                  <w:t>. Naučiti metode dezinfekcije i sterilizacije</w:t>
                </w:r>
                <w:r w:rsidR="00CE4565">
                  <w:rPr>
                    <w:rStyle w:val="Style54"/>
                    <w:lang w:val="hr-HR"/>
                  </w:rPr>
                  <w:t xml:space="preserve"> te principe </w:t>
                </w:r>
                <w:proofErr w:type="spellStart"/>
                <w:r w:rsidR="00CE4565">
                  <w:rPr>
                    <w:rStyle w:val="Style54"/>
                    <w:lang w:val="hr-HR"/>
                  </w:rPr>
                  <w:t>asepse</w:t>
                </w:r>
                <w:proofErr w:type="spellEnd"/>
                <w:r w:rsidR="00CE4565">
                  <w:rPr>
                    <w:rStyle w:val="Style54"/>
                    <w:lang w:val="hr-HR"/>
                  </w:rPr>
                  <w:t xml:space="preserve"> i antisepse.</w:t>
                </w:r>
              </w:p>
              <w:p w14:paraId="607CD909" w14:textId="77777777" w:rsidR="00812807" w:rsidRPr="00812807" w:rsidRDefault="00812807" w:rsidP="00812807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360FCCEA" w14:textId="6BE630A8" w:rsidR="00CE4565" w:rsidRDefault="00062725" w:rsidP="0006272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62725">
                  <w:rPr>
                    <w:rFonts w:ascii="Calibri" w:hAnsi="Calibri"/>
                    <w:b/>
                    <w:bCs/>
                    <w:sz w:val="22"/>
                    <w:szCs w:val="22"/>
                    <w:lang w:val="hr-HR"/>
                  </w:rPr>
                  <w:t>Obaveze studenata:</w:t>
                </w:r>
                <w:r>
                  <w:rPr>
                    <w:rFonts w:ascii="Calibri" w:hAnsi="Calibri"/>
                    <w:b/>
                    <w:bCs/>
                    <w:sz w:val="22"/>
                    <w:szCs w:val="22"/>
                    <w:lang w:val="hr-HR"/>
                  </w:rPr>
                  <w:t xml:space="preserve"> </w:t>
                </w:r>
                <w:r w:rsidRPr="0006272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Nastava se izvodi u obliku predavanja </w:t>
                </w:r>
                <w:r w:rsid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>i vježbi. T</w:t>
                </w:r>
                <w:r w:rsidRPr="0006272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ijekom </w:t>
                </w:r>
                <w:r w:rsid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>predavanja</w:t>
                </w:r>
                <w:r w:rsidRPr="0006272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nastavnik objašnjava temu i potiče aktivno i kritičko razmišljanje studenata te sudjelovanje u raspravi. Nastavnici sa studentima raspravljaju o specifičnostima i problemima u sklopu svake obrađivane teme. </w:t>
                </w:r>
                <w:r w:rsid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Vježbe se izvode u kabinetu. Tijekom vježbi studenti stječu osnovna praktična </w:t>
                </w:r>
                <w:r w:rsid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>znanja vezana uz rad u operacijskoj sali te poznavanja i razlikovanja kirurških instrumenata i materijala te pravilnog rukovanja sa istima.</w:t>
                </w:r>
              </w:p>
              <w:p w14:paraId="3974D3CA" w14:textId="2E05F835" w:rsidR="005C2F41" w:rsidRPr="00062725" w:rsidRDefault="00062725" w:rsidP="00062725">
                <w:pPr>
                  <w:pStyle w:val="Default"/>
                  <w:rPr>
                    <w:rFonts w:ascii="Calibri" w:hAnsi="Calibri"/>
                    <w:b/>
                    <w:bCs/>
                    <w:sz w:val="22"/>
                    <w:szCs w:val="22"/>
                    <w:lang w:val="hr-HR"/>
                  </w:rPr>
                </w:pPr>
                <w:r w:rsidRPr="00062725">
                  <w:rPr>
                    <w:rFonts w:ascii="Calibri" w:hAnsi="Calibri"/>
                    <w:sz w:val="22"/>
                    <w:szCs w:val="22"/>
                    <w:lang w:val="hr-HR"/>
                  </w:rPr>
                  <w:t>O pohađanju nastave vodi se evidencija za svakog studenta. Na kraju nastave je pismeni završni ispit. Izvršavanjem svih nastavnih aktivnosti te položenim završnim ispitom student stječe 2ECTS boda.</w:t>
                </w:r>
              </w:p>
            </w:tc>
          </w:sdtContent>
        </w:sdt>
      </w:tr>
    </w:tbl>
    <w:p w14:paraId="27B54315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FDB4382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7D362D4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4BAE90C" w14:textId="3AF2487A" w:rsidR="00AD43F2" w:rsidRPr="00AD43F2" w:rsidRDefault="00AD43F2" w:rsidP="00AD43F2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Šustić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N, </w:t>
                </w: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Šustić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V. Tehnika </w:t>
                </w: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instrumentiranja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I. Otokar </w:t>
                </w: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Keršovani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, Rijeka, 1981.</w:t>
                </w:r>
              </w:p>
              <w:p w14:paraId="2114B885" w14:textId="4673D4E3" w:rsidR="00812807" w:rsidRPr="00812807" w:rsidRDefault="00812807" w:rsidP="00CE4565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Šustić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N, </w:t>
                </w: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Šustić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V. Operaciona dvorana i uvod u tehniku </w:t>
                </w: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instrumentiranja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Otokar </w:t>
                </w: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Keršovani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, Rijeka, 1978.</w:t>
                </w:r>
              </w:p>
              <w:p w14:paraId="49B9CBFC" w14:textId="43EAEA1F" w:rsidR="005C2F41" w:rsidRPr="00CD3F31" w:rsidRDefault="005C2F41" w:rsidP="0081280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03834885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E81C033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B8D65EA" w14:textId="77777777" w:rsidTr="00CE4565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9D029C" w14:textId="49CD6841" w:rsidR="00CE4565" w:rsidRDefault="00CE4565" w:rsidP="00CE4565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Nemitz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R. </w:t>
                </w: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Surgical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Instrumentation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: An </w:t>
                </w: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Interactive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Approach</w:t>
                </w:r>
                <w:proofErr w:type="spellEnd"/>
                <w:r w:rsidRPr="00812807">
                  <w:rPr>
                    <w:rFonts w:ascii="Calibri" w:hAnsi="Calibri"/>
                    <w:sz w:val="22"/>
                    <w:szCs w:val="22"/>
                    <w:lang w:val="hr-HR"/>
                  </w:rPr>
                  <w:t>. W.B. Saunders, 2008.</w:t>
                </w:r>
                <w:r w:rsidRPr="002E1B8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32DEA85C" w14:textId="5C8AC941" w:rsidR="00CE4565" w:rsidRPr="00CE4565" w:rsidRDefault="00CE4565" w:rsidP="00CE4565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>Shirley</w:t>
                </w:r>
                <w:proofErr w:type="spellEnd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M. </w:t>
                </w:r>
                <w:proofErr w:type="spellStart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>Tighe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>
                  <w:t xml:space="preserve"> </w:t>
                </w:r>
                <w:proofErr w:type="spellStart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>Instrumentation</w:t>
                </w:r>
                <w:proofErr w:type="spellEnd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for </w:t>
                </w:r>
                <w:proofErr w:type="spellStart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>the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>Operating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</w:t>
                </w:r>
                <w:r>
                  <w:t xml:space="preserve"> </w:t>
                </w:r>
                <w:proofErr w:type="spellStart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>Mosby</w:t>
                </w:r>
                <w:proofErr w:type="spellEnd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Inc., </w:t>
                </w:r>
                <w:proofErr w:type="spellStart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>an</w:t>
                </w:r>
                <w:proofErr w:type="spellEnd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>affiliate</w:t>
                </w:r>
                <w:proofErr w:type="spellEnd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>of</w:t>
                </w:r>
                <w:proofErr w:type="spellEnd"/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Elsevier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, 2012.(odabrana poglavlja)</w:t>
                </w:r>
                <w:r w:rsidRPr="00CE456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56EF0B32" w14:textId="31E87378" w:rsidR="005C2F41" w:rsidRPr="00CD3F31" w:rsidRDefault="005C2F41" w:rsidP="00CE4565">
                <w:pPr>
                  <w:pStyle w:val="Default"/>
                  <w:ind w:left="732" w:hanging="732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6A8B994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884E9E8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E0E0EF8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001701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BA4D84F" w14:textId="6B528B1B" w:rsidR="00CE4565" w:rsidRPr="00CE4565" w:rsidRDefault="00CE4565" w:rsidP="002E1B8A">
                <w:pPr>
                  <w:pStyle w:val="Footer"/>
                  <w:outlineLvl w:val="0"/>
                </w:pPr>
                <w:r>
                  <w:rPr>
                    <w:b/>
                    <w:bCs/>
                  </w:rPr>
                  <w:t>P1 Uvodno predavanje</w:t>
                </w:r>
              </w:p>
              <w:p w14:paraId="3EAC95D5" w14:textId="77777777" w:rsidR="00CE4565" w:rsidRDefault="00CE4565" w:rsidP="002E1B8A">
                <w:pPr>
                  <w:pStyle w:val="Footer"/>
                  <w:outlineLvl w:val="0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Ishod učenja:</w:t>
                </w:r>
              </w:p>
              <w:p w14:paraId="41AD2686" w14:textId="42B9F4D6" w:rsidR="00CE4565" w:rsidRDefault="00CE4565" w:rsidP="002E1B8A">
                <w:pPr>
                  <w:pStyle w:val="Footer"/>
                  <w:outlineLvl w:val="0"/>
                </w:pPr>
                <w:r>
                  <w:t xml:space="preserve">Upoznati se sa ciljevima kolegija. Prikazati povijesni pregled razvoja kirurgije i </w:t>
                </w:r>
                <w:proofErr w:type="spellStart"/>
                <w:r>
                  <w:t>instrumentiranja</w:t>
                </w:r>
                <w:proofErr w:type="spellEnd"/>
                <w:r>
                  <w:t xml:space="preserve">. Informirati se o edukacija </w:t>
                </w:r>
                <w:proofErr w:type="spellStart"/>
                <w:r>
                  <w:t>instrumentarki</w:t>
                </w:r>
                <w:proofErr w:type="spellEnd"/>
                <w:r>
                  <w:t xml:space="preserve"> i </w:t>
                </w:r>
                <w:proofErr w:type="spellStart"/>
                <w:r>
                  <w:t>instrumentara</w:t>
                </w:r>
                <w:proofErr w:type="spellEnd"/>
                <w:r>
                  <w:t xml:space="preserve"> u Svijetu, EU i HR.</w:t>
                </w:r>
              </w:p>
              <w:p w14:paraId="1B4096E9" w14:textId="77777777" w:rsidR="00CE4565" w:rsidRDefault="00CE4565" w:rsidP="002E1B8A">
                <w:pPr>
                  <w:pStyle w:val="Footer"/>
                  <w:outlineLvl w:val="0"/>
                </w:pPr>
              </w:p>
              <w:p w14:paraId="7F6E3A9B" w14:textId="0A3AC6D3" w:rsidR="00CE4565" w:rsidRDefault="00CE4565" w:rsidP="002E1B8A">
                <w:pPr>
                  <w:pStyle w:val="Footer"/>
                  <w:outlineLvl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P2 Opći postupci u sprječavanju infekcija – dezinfekcija</w:t>
                </w:r>
              </w:p>
              <w:p w14:paraId="26180D3B" w14:textId="77777777" w:rsidR="00CE4565" w:rsidRDefault="00CE4565" w:rsidP="002E1B8A">
                <w:pPr>
                  <w:pStyle w:val="Footer"/>
                  <w:outlineLvl w:val="0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Ishod učenja</w:t>
                </w:r>
              </w:p>
              <w:p w14:paraId="59643DA3" w14:textId="77777777" w:rsidR="00CE4565" w:rsidRDefault="00CE4565" w:rsidP="002E1B8A">
                <w:pPr>
                  <w:pStyle w:val="Footer"/>
                  <w:outlineLvl w:val="0"/>
                </w:pPr>
                <w:r>
                  <w:t>Naučiti osnove i definicije antisepse i antisepse. Upoznati se sa različitim metodama dezinfekcije. Pobliže objasniti svaku od metoda. Prikazati najvažnije organske i anorganske dezinficijense koji su trenutno u upotrebi. Naučiti pravilnu upotrebu zaštitne opreme te kirurškog pranja ruku.</w:t>
                </w:r>
              </w:p>
              <w:p w14:paraId="3872861F" w14:textId="77777777" w:rsidR="00CE4565" w:rsidRDefault="00CE4565" w:rsidP="002E1B8A">
                <w:pPr>
                  <w:pStyle w:val="Footer"/>
                  <w:outlineLvl w:val="0"/>
                </w:pPr>
              </w:p>
              <w:p w14:paraId="4CD9747E" w14:textId="77777777" w:rsidR="00CE4565" w:rsidRDefault="00CE4565" w:rsidP="002E1B8A">
                <w:pPr>
                  <w:pStyle w:val="Footer"/>
                  <w:outlineLvl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P3 Sterilizacija</w:t>
                </w:r>
              </w:p>
              <w:p w14:paraId="2C5975F5" w14:textId="77777777" w:rsidR="00CE4565" w:rsidRDefault="00CE4565" w:rsidP="002E1B8A">
                <w:pPr>
                  <w:pStyle w:val="Footer"/>
                  <w:outlineLvl w:val="0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Ishod učenja</w:t>
                </w:r>
              </w:p>
              <w:p w14:paraId="1E77B62A" w14:textId="77777777" w:rsidR="00CE4565" w:rsidRDefault="00CE4565" w:rsidP="002E1B8A">
                <w:pPr>
                  <w:pStyle w:val="Footer"/>
                  <w:outlineLvl w:val="0"/>
                </w:pPr>
                <w:r>
                  <w:t>Naučiti razliku između sterilizacije i dezinfekcije. Prikazati metode sterilizacije koje se danas koriste te njihove osobitosti. Naučiti pravilnu pripremu instrumenata za sterilizaciju. Usvojiti metode kontrole sterilnosti.</w:t>
                </w:r>
              </w:p>
              <w:p w14:paraId="5E15DC51" w14:textId="77777777" w:rsidR="00CE4565" w:rsidRDefault="00CE4565" w:rsidP="002E1B8A">
                <w:pPr>
                  <w:pStyle w:val="Footer"/>
                  <w:outlineLvl w:val="0"/>
                </w:pPr>
              </w:p>
              <w:p w14:paraId="4AA1B7F3" w14:textId="77777777" w:rsidR="00CE4565" w:rsidRDefault="00CE4565" w:rsidP="002E1B8A">
                <w:pPr>
                  <w:pStyle w:val="Footer"/>
                  <w:outlineLvl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P4 Organizacija operacijske sale/dvorane</w:t>
                </w:r>
              </w:p>
              <w:p w14:paraId="6310FDD7" w14:textId="77777777" w:rsidR="00CE4565" w:rsidRDefault="00CE4565" w:rsidP="002E1B8A">
                <w:pPr>
                  <w:pStyle w:val="Footer"/>
                  <w:outlineLvl w:val="0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Ishod učenja</w:t>
                </w:r>
              </w:p>
              <w:p w14:paraId="4266949D" w14:textId="77777777" w:rsidR="00CE4565" w:rsidRDefault="00CE4565" w:rsidP="002E1B8A">
                <w:pPr>
                  <w:pStyle w:val="Footer"/>
                  <w:outlineLvl w:val="0"/>
                </w:pPr>
                <w:r>
                  <w:t xml:space="preserve">Naučiti dijelove i specifičnosti operacijske dvorane. Usvojiti pojam operacijskog bloka te dijelove koji ga sačinjavaju. Osnove o pripremi operacijske sale kao i operacijskog polja. </w:t>
                </w:r>
              </w:p>
              <w:p w14:paraId="25AA6B9D" w14:textId="77777777" w:rsidR="00CE4565" w:rsidRDefault="00CE4565" w:rsidP="002E1B8A">
                <w:pPr>
                  <w:pStyle w:val="Footer"/>
                  <w:outlineLvl w:val="0"/>
                </w:pPr>
              </w:p>
              <w:p w14:paraId="72D4F9CD" w14:textId="77777777" w:rsidR="00CE4565" w:rsidRDefault="00CE4565" w:rsidP="002E1B8A">
                <w:pPr>
                  <w:pStyle w:val="Footer"/>
                  <w:outlineLvl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P5 Organizacija </w:t>
                </w:r>
                <w:proofErr w:type="spellStart"/>
                <w:r>
                  <w:rPr>
                    <w:b/>
                    <w:bCs/>
                  </w:rPr>
                  <w:t>laparoskopske</w:t>
                </w:r>
                <w:proofErr w:type="spellEnd"/>
                <w:r>
                  <w:rPr>
                    <w:b/>
                    <w:bCs/>
                  </w:rPr>
                  <w:t xml:space="preserve"> sale/jedinice</w:t>
                </w:r>
              </w:p>
              <w:p w14:paraId="72506E61" w14:textId="77777777" w:rsidR="00CE4565" w:rsidRDefault="00CE4565" w:rsidP="002E1B8A">
                <w:pPr>
                  <w:pStyle w:val="Footer"/>
                  <w:outlineLvl w:val="0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Ishod učenja</w:t>
                </w:r>
              </w:p>
              <w:p w14:paraId="79AF0632" w14:textId="77777777" w:rsidR="00CE4565" w:rsidRDefault="00CE4565" w:rsidP="002E1B8A">
                <w:pPr>
                  <w:pStyle w:val="Footer"/>
                  <w:outlineLvl w:val="0"/>
                </w:pPr>
                <w:r>
                  <w:lastRenderedPageBreak/>
                  <w:t xml:space="preserve">Upoznati specifičnosti </w:t>
                </w:r>
                <w:proofErr w:type="spellStart"/>
                <w:r>
                  <w:t>laparoskopske</w:t>
                </w:r>
                <w:proofErr w:type="spellEnd"/>
                <w:r>
                  <w:t xml:space="preserve"> kirurgije te način kako se organizira </w:t>
                </w:r>
                <w:proofErr w:type="spellStart"/>
                <w:r>
                  <w:t>laparoskopska</w:t>
                </w:r>
                <w:proofErr w:type="spellEnd"/>
                <w:r>
                  <w:t xml:space="preserve"> jedinica/sala u odnosu na klasičnu operacijsku salu. Naučiti osnovne dijelove </w:t>
                </w:r>
                <w:proofErr w:type="spellStart"/>
                <w:r>
                  <w:t>laparoskopskog</w:t>
                </w:r>
                <w:proofErr w:type="spellEnd"/>
                <w:r>
                  <w:t xml:space="preserve"> stupa te aparata specifičnih za </w:t>
                </w:r>
                <w:proofErr w:type="spellStart"/>
                <w:r>
                  <w:t>laparoskopsku</w:t>
                </w:r>
                <w:proofErr w:type="spellEnd"/>
                <w:r>
                  <w:t xml:space="preserve"> kirurgiju.</w:t>
                </w:r>
              </w:p>
              <w:p w14:paraId="395C5569" w14:textId="77777777" w:rsidR="00CE4565" w:rsidRDefault="00CE4565" w:rsidP="002E1B8A">
                <w:pPr>
                  <w:pStyle w:val="Footer"/>
                  <w:outlineLvl w:val="0"/>
                </w:pPr>
              </w:p>
              <w:p w14:paraId="11456D9C" w14:textId="77777777" w:rsidR="00CE4565" w:rsidRDefault="00CE4565" w:rsidP="002E1B8A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CE4565">
                  <w:rPr>
                    <w:b/>
                    <w:bCs/>
                  </w:rPr>
                  <w:t>P6</w:t>
                </w:r>
                <w:r>
                  <w:rPr>
                    <w:b/>
                    <w:bCs/>
                  </w:rPr>
                  <w:t xml:space="preserve"> Kirurški instrumenti</w:t>
                </w:r>
              </w:p>
              <w:p w14:paraId="2A7F733A" w14:textId="77777777" w:rsidR="00CE4565" w:rsidRDefault="00CE4565" w:rsidP="002E1B8A">
                <w:pPr>
                  <w:pStyle w:val="Footer"/>
                  <w:outlineLvl w:val="0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Ishod učenja</w:t>
                </w:r>
              </w:p>
              <w:p w14:paraId="3A24C760" w14:textId="618E10B3" w:rsidR="005C2F41" w:rsidRPr="00CE4565" w:rsidRDefault="00CE4565" w:rsidP="002E1B8A">
                <w:pPr>
                  <w:pStyle w:val="Footer"/>
                  <w:outlineLvl w:val="0"/>
                  <w:rPr>
                    <w:i/>
                    <w:iCs/>
                  </w:rPr>
                </w:pPr>
                <w:r>
                  <w:t xml:space="preserve">Naučiti podjelu kirurških instrumenata. Upoznati se sa pojedinim tipovima kirurških </w:t>
                </w:r>
                <w:proofErr w:type="spellStart"/>
                <w:r>
                  <w:t>instumenata</w:t>
                </w:r>
                <w:proofErr w:type="spellEnd"/>
                <w:r>
                  <w:t xml:space="preserve"> te njihovim razlikama i specifičnostima. Poseban osvrt na specijalizirane instrumente koji se koriste u ginekologiji i </w:t>
                </w:r>
                <w:proofErr w:type="spellStart"/>
                <w:r>
                  <w:t>opstetriciji</w:t>
                </w:r>
                <w:proofErr w:type="spellEnd"/>
                <w:r>
                  <w:t>. Naučiti razlikovati kirurške materijale (šave) prema njihovim karakteristikama i specifičnostima.</w:t>
                </w:r>
              </w:p>
            </w:tc>
          </w:sdtContent>
        </w:sdt>
      </w:tr>
    </w:tbl>
    <w:p w14:paraId="4236D1E4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92A2A4D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1EEB00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PlaceholderText"/>
                  </w:rPr>
                  <w:t>Unesite tražene podatke</w:t>
                </w:r>
              </w:p>
            </w:tc>
          </w:sdtContent>
        </w:sdt>
      </w:tr>
    </w:tbl>
    <w:p w14:paraId="41A5BADE" w14:textId="77777777" w:rsidR="005C2F41" w:rsidRPr="00CD3F31" w:rsidRDefault="005C2F41" w:rsidP="005C2F41"/>
    <w:p w14:paraId="0DFEA9E6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12801A5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sdt>
            <w:sdtPr>
              <w:rPr>
                <w:rStyle w:val="Style43"/>
                <w:lang w:val="hr-HR"/>
              </w:rPr>
              <w:alias w:val="Popis vježbi"/>
              <w:tag w:val="Popis vježbi"/>
              <w:id w:val="-1916624116"/>
              <w:placeholder>
                <w:docPart w:val="6A911C37395846959EC1304C7A1EB0AB"/>
              </w:placeholder>
            </w:sdtPr>
            <w:sdtEndPr>
              <w:rPr>
                <w:rStyle w:val="Style42"/>
                <w:color w:val="000000" w:themeColor="text1"/>
                <w:sz w:val="24"/>
              </w:rPr>
            </w:sdtEndPr>
            <w:sdtContent>
              <w:p w14:paraId="6BAE57CA" w14:textId="768ECAD6" w:rsidR="00D16CF8" w:rsidRDefault="00D16CF8" w:rsidP="00481703">
                <w:pPr>
                  <w:pStyle w:val="Default"/>
                  <w:rPr>
                    <w:rStyle w:val="Style43"/>
                    <w:b/>
                    <w:bCs/>
                    <w:lang w:val="hr-HR"/>
                  </w:rPr>
                </w:pPr>
                <w:r>
                  <w:rPr>
                    <w:rStyle w:val="Style43"/>
                    <w:b/>
                    <w:bCs/>
                    <w:lang w:val="hr-HR"/>
                  </w:rPr>
                  <w:t>V1 O</w:t>
                </w:r>
                <w:r w:rsidR="00AD43F2">
                  <w:rPr>
                    <w:rStyle w:val="Style43"/>
                    <w:b/>
                    <w:bCs/>
                    <w:lang w:val="hr-HR"/>
                  </w:rPr>
                  <w:t>snovni kirurški instrumenti i materijali za zatvaranje rana</w:t>
                </w:r>
              </w:p>
              <w:p w14:paraId="61ABB509" w14:textId="22A7E869" w:rsidR="00D16CF8" w:rsidRDefault="00D16CF8" w:rsidP="00481703">
                <w:pPr>
                  <w:pStyle w:val="Default"/>
                  <w:rPr>
                    <w:rStyle w:val="Style43"/>
                    <w:i/>
                    <w:iCs/>
                    <w:lang w:val="hr-HR"/>
                  </w:rPr>
                </w:pPr>
                <w:r>
                  <w:rPr>
                    <w:rStyle w:val="Style43"/>
                    <w:i/>
                    <w:iCs/>
                    <w:lang w:val="hr-HR"/>
                  </w:rPr>
                  <w:t>Ishod učenja</w:t>
                </w:r>
              </w:p>
              <w:p w14:paraId="34FF64D7" w14:textId="6EC659B9" w:rsidR="00AD43F2" w:rsidRPr="00AD43F2" w:rsidRDefault="00D16CF8" w:rsidP="00AD43F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Upoznati osnovne kirurške instrumente. Naučiti razlikovati njihove specifičnosti. Steći osnovna </w:t>
                </w:r>
                <w:r w:rsidRPr="00AD43F2">
                  <w:rPr>
                    <w:rStyle w:val="Style43"/>
                    <w:lang w:val="hr-HR"/>
                  </w:rPr>
                  <w:t xml:space="preserve">znanja </w:t>
                </w:r>
                <w:proofErr w:type="spellStart"/>
                <w:r w:rsidRPr="00AD43F2">
                  <w:rPr>
                    <w:rStyle w:val="Style43"/>
                    <w:lang w:val="hr-HR"/>
                  </w:rPr>
                  <w:t>instrumentiranja</w:t>
                </w:r>
                <w:proofErr w:type="spellEnd"/>
                <w:r w:rsidRPr="00AD43F2">
                  <w:rPr>
                    <w:rStyle w:val="Style43"/>
                    <w:lang w:val="hr-HR"/>
                  </w:rPr>
                  <w:t xml:space="preserve"> vezana za pravilnu pripremu, rukovanje i dodavanje pojedinih instrumenat</w:t>
                </w:r>
                <w:r w:rsidR="00AD43F2" w:rsidRPr="00AD43F2">
                  <w:rPr>
                    <w:rStyle w:val="Style43"/>
                    <w:lang w:val="hr-HR"/>
                  </w:rPr>
                  <w:t xml:space="preserve">a.  Steći znanja o materijalima koji se koriste za zatvaranje rana u kirurgiji. Upoznati se sa kirurškim koncima, njihovim specifičnostima, oznakama na pakiranju, vrstama igala. Naučiti pravilo postavljati iglu u </w:t>
                </w:r>
                <w:proofErr w:type="spellStart"/>
                <w:r w:rsidR="00AD43F2" w:rsidRPr="00AD43F2">
                  <w:rPr>
                    <w:rStyle w:val="Style43"/>
                    <w:lang w:val="hr-HR"/>
                  </w:rPr>
                  <w:t>iglodržač</w:t>
                </w:r>
                <w:proofErr w:type="spellEnd"/>
                <w:r w:rsidR="00AD43F2" w:rsidRPr="00AD43F2">
                  <w:rPr>
                    <w:rStyle w:val="Style43"/>
                    <w:lang w:val="hr-HR"/>
                  </w:rPr>
                  <w:t xml:space="preserve">.  Demonstrirati vezanje čvorova u kirurgiji. Prikazati kožni </w:t>
                </w:r>
                <w:proofErr w:type="spellStart"/>
                <w:r w:rsidR="00AD43F2" w:rsidRPr="00AD43F2">
                  <w:rPr>
                    <w:rStyle w:val="Style43"/>
                    <w:lang w:val="hr-HR"/>
                  </w:rPr>
                  <w:t>stapler</w:t>
                </w:r>
                <w:proofErr w:type="spellEnd"/>
                <w:r w:rsidR="00AD43F2" w:rsidRPr="00AD43F2">
                  <w:rPr>
                    <w:rStyle w:val="Style43"/>
                    <w:lang w:val="hr-HR"/>
                  </w:rPr>
                  <w:t xml:space="preserve"> te pravilnu pripremu I upotrebu. </w:t>
                </w:r>
              </w:p>
              <w:p w14:paraId="546181B5" w14:textId="44CC5ADB" w:rsidR="00D16CF8" w:rsidRPr="00AD43F2" w:rsidRDefault="00D16CF8" w:rsidP="00481703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2E32E8E6" w14:textId="6063931C" w:rsidR="00D16CF8" w:rsidRPr="00AD43F2" w:rsidRDefault="00D16CF8" w:rsidP="00481703">
                <w:pPr>
                  <w:pStyle w:val="Default"/>
                  <w:rPr>
                    <w:rStyle w:val="Style43"/>
                    <w:b/>
                    <w:bCs/>
                    <w:lang w:val="hr-HR"/>
                  </w:rPr>
                </w:pPr>
                <w:r w:rsidRPr="00AD43F2">
                  <w:rPr>
                    <w:rStyle w:val="Style43"/>
                    <w:b/>
                    <w:bCs/>
                    <w:lang w:val="hr-HR"/>
                  </w:rPr>
                  <w:t>V2 G</w:t>
                </w:r>
                <w:r w:rsidR="00AD43F2" w:rsidRPr="00AD43F2">
                  <w:rPr>
                    <w:rStyle w:val="Style43"/>
                    <w:b/>
                    <w:bCs/>
                    <w:lang w:val="hr-HR"/>
                  </w:rPr>
                  <w:t>inekološki instrumenti</w:t>
                </w:r>
              </w:p>
              <w:p w14:paraId="4D404C04" w14:textId="7C9F5FA7" w:rsidR="00D16CF8" w:rsidRPr="00AD43F2" w:rsidRDefault="00D16CF8" w:rsidP="00481703">
                <w:pPr>
                  <w:pStyle w:val="Default"/>
                  <w:rPr>
                    <w:rStyle w:val="Style43"/>
                    <w:i/>
                    <w:iCs/>
                    <w:lang w:val="hr-HR"/>
                  </w:rPr>
                </w:pPr>
                <w:r w:rsidRPr="00AD43F2">
                  <w:rPr>
                    <w:rStyle w:val="Style43"/>
                    <w:i/>
                    <w:iCs/>
                    <w:lang w:val="hr-HR"/>
                  </w:rPr>
                  <w:t>Ishod učenja</w:t>
                </w:r>
              </w:p>
              <w:p w14:paraId="09258AEC" w14:textId="612636AD" w:rsidR="00D16CF8" w:rsidRPr="00AD43F2" w:rsidRDefault="00D16CF8" w:rsidP="00481703">
                <w:pPr>
                  <w:pStyle w:val="Default"/>
                  <w:rPr>
                    <w:rStyle w:val="Style43"/>
                    <w:lang w:val="hr-HR"/>
                  </w:rPr>
                </w:pPr>
                <w:r w:rsidRPr="00AD43F2">
                  <w:rPr>
                    <w:rStyle w:val="Style43"/>
                    <w:lang w:val="hr-HR"/>
                  </w:rPr>
                  <w:t>Upoznati instrumente specifične za ginekološku kirurgiju. Prikazati set za male zahvate u ginekologije sa posebnim osvrtom na set za dilataciju I kiretažu. Naučiti kako se set pravilo priprema te koje su specifičnosti pravilnog rukovanja pojedinim instrumentima</w:t>
                </w:r>
              </w:p>
              <w:p w14:paraId="5427EB64" w14:textId="77777777" w:rsidR="00AD43F2" w:rsidRPr="00AD43F2" w:rsidRDefault="00AD43F2" w:rsidP="00481703">
                <w:pPr>
                  <w:pStyle w:val="Default"/>
                  <w:rPr>
                    <w:rStyle w:val="Style43"/>
                    <w:b/>
                    <w:bCs/>
                    <w:lang w:val="hr-HR"/>
                  </w:rPr>
                </w:pPr>
              </w:p>
              <w:p w14:paraId="4C62F544" w14:textId="6DF77BF7" w:rsidR="00D16CF8" w:rsidRPr="00AD43F2" w:rsidRDefault="00D16CF8" w:rsidP="00481703">
                <w:pPr>
                  <w:pStyle w:val="Default"/>
                  <w:rPr>
                    <w:rStyle w:val="Style43"/>
                    <w:b/>
                    <w:bCs/>
                    <w:lang w:val="hr-HR"/>
                  </w:rPr>
                </w:pPr>
                <w:r w:rsidRPr="00AD43F2">
                  <w:rPr>
                    <w:rStyle w:val="Style43"/>
                    <w:b/>
                    <w:bCs/>
                    <w:lang w:val="hr-HR"/>
                  </w:rPr>
                  <w:t>V</w:t>
                </w:r>
                <w:r w:rsidR="00AD43F2" w:rsidRPr="00AD43F2">
                  <w:rPr>
                    <w:rStyle w:val="Style43"/>
                    <w:b/>
                    <w:bCs/>
                    <w:lang w:val="hr-HR"/>
                  </w:rPr>
                  <w:t>3</w:t>
                </w:r>
                <w:r w:rsidRPr="00AD43F2">
                  <w:rPr>
                    <w:rStyle w:val="Style43"/>
                    <w:b/>
                    <w:bCs/>
                    <w:lang w:val="hr-HR"/>
                  </w:rPr>
                  <w:t xml:space="preserve"> </w:t>
                </w:r>
                <w:proofErr w:type="spellStart"/>
                <w:r w:rsidR="00AD43F2" w:rsidRPr="00AD43F2">
                  <w:rPr>
                    <w:rStyle w:val="Style43"/>
                    <w:b/>
                    <w:bCs/>
                    <w:lang w:val="hr-HR"/>
                  </w:rPr>
                  <w:t>Laparoskopski</w:t>
                </w:r>
                <w:proofErr w:type="spellEnd"/>
                <w:r w:rsidR="00AD43F2" w:rsidRPr="00AD43F2">
                  <w:rPr>
                    <w:rStyle w:val="Style43"/>
                    <w:b/>
                    <w:bCs/>
                    <w:lang w:val="hr-HR"/>
                  </w:rPr>
                  <w:t xml:space="preserve"> instrumenti</w:t>
                </w:r>
              </w:p>
              <w:p w14:paraId="350705FD" w14:textId="24CB9865" w:rsidR="00D16CF8" w:rsidRPr="00AD43F2" w:rsidRDefault="00D16CF8" w:rsidP="00481703">
                <w:pPr>
                  <w:pStyle w:val="Default"/>
                  <w:rPr>
                    <w:rStyle w:val="Style43"/>
                    <w:i/>
                    <w:iCs/>
                    <w:lang w:val="hr-HR"/>
                  </w:rPr>
                </w:pPr>
                <w:r w:rsidRPr="00AD43F2">
                  <w:rPr>
                    <w:rStyle w:val="Style43"/>
                    <w:i/>
                    <w:iCs/>
                    <w:lang w:val="hr-HR"/>
                  </w:rPr>
                  <w:t>Ishod učenja</w:t>
                </w:r>
              </w:p>
              <w:p w14:paraId="31A230EF" w14:textId="4EE6578E" w:rsidR="00D16CF8" w:rsidRPr="00AD43F2" w:rsidRDefault="00D16CF8" w:rsidP="00481703">
                <w:pPr>
                  <w:pStyle w:val="Default"/>
                  <w:rPr>
                    <w:rStyle w:val="Style43"/>
                    <w:lang w:val="hr-HR"/>
                  </w:rPr>
                </w:pPr>
                <w:r w:rsidRPr="00AD43F2">
                  <w:rPr>
                    <w:rStyle w:val="Style43"/>
                    <w:lang w:val="hr-HR"/>
                  </w:rPr>
                  <w:t xml:space="preserve">Upoznati se sa specifičnostima </w:t>
                </w:r>
                <w:proofErr w:type="spellStart"/>
                <w:r w:rsidRPr="00AD43F2">
                  <w:rPr>
                    <w:rStyle w:val="Style43"/>
                    <w:lang w:val="hr-HR"/>
                  </w:rPr>
                  <w:t>laparosko</w:t>
                </w:r>
                <w:r w:rsidR="00AD43F2">
                  <w:rPr>
                    <w:rStyle w:val="Style43"/>
                    <w:lang w:val="hr-HR"/>
                  </w:rPr>
                  <w:t>p</w:t>
                </w:r>
                <w:r w:rsidRPr="00AD43F2">
                  <w:rPr>
                    <w:rStyle w:val="Style43"/>
                    <w:lang w:val="hr-HR"/>
                  </w:rPr>
                  <w:t>skih</w:t>
                </w:r>
                <w:proofErr w:type="spellEnd"/>
                <w:r w:rsidRPr="00AD43F2">
                  <w:rPr>
                    <w:rStyle w:val="Style43"/>
                    <w:lang w:val="hr-HR"/>
                  </w:rPr>
                  <w:t xml:space="preserve"> instrumenata koji se koriste u minimalno invazivnoj kirurgiji u ginekologiji. Naučiti pravilnu pripremu instrumenata te rukovanje sa istima. Naučiti pravilno dodavati </w:t>
                </w:r>
                <w:proofErr w:type="spellStart"/>
                <w:r w:rsidRPr="00AD43F2">
                  <w:rPr>
                    <w:rStyle w:val="Style43"/>
                    <w:lang w:val="hr-HR"/>
                  </w:rPr>
                  <w:t>laparoskopske</w:t>
                </w:r>
                <w:proofErr w:type="spellEnd"/>
                <w:r w:rsidRPr="00AD43F2">
                  <w:rPr>
                    <w:rStyle w:val="Style43"/>
                    <w:lang w:val="hr-HR"/>
                  </w:rPr>
                  <w:t xml:space="preserve"> instrumente. Steći osnovna znanja o principima I specifičnostima </w:t>
                </w:r>
                <w:proofErr w:type="spellStart"/>
                <w:r w:rsidRPr="00AD43F2">
                  <w:rPr>
                    <w:rStyle w:val="Style43"/>
                    <w:lang w:val="hr-HR"/>
                  </w:rPr>
                  <w:t>laparoskoske</w:t>
                </w:r>
                <w:proofErr w:type="spellEnd"/>
                <w:r w:rsidRPr="00AD43F2">
                  <w:rPr>
                    <w:rStyle w:val="Style43"/>
                    <w:lang w:val="hr-HR"/>
                  </w:rPr>
                  <w:t xml:space="preserve"> kirurgije te </w:t>
                </w:r>
                <w:proofErr w:type="spellStart"/>
                <w:r w:rsidRPr="00AD43F2">
                  <w:rPr>
                    <w:rStyle w:val="Style43"/>
                    <w:lang w:val="hr-HR"/>
                  </w:rPr>
                  <w:t>laparoskopskih</w:t>
                </w:r>
                <w:proofErr w:type="spellEnd"/>
                <w:r w:rsidRPr="00AD43F2">
                  <w:rPr>
                    <w:rStyle w:val="Style43"/>
                    <w:lang w:val="hr-HR"/>
                  </w:rPr>
                  <w:t xml:space="preserve"> aparata.</w:t>
                </w:r>
              </w:p>
              <w:p w14:paraId="77773180" w14:textId="697D85E9" w:rsidR="00D16CF8" w:rsidRDefault="00000000" w:rsidP="00481703">
                <w:pPr>
                  <w:pStyle w:val="Default"/>
                  <w:rPr>
                    <w:rStyle w:val="Style42"/>
                    <w:lang w:val="hr-HR"/>
                  </w:rPr>
                </w:pPr>
              </w:p>
            </w:sdtContent>
          </w:sdt>
          <w:p w14:paraId="04974708" w14:textId="14EDF6E8" w:rsidR="00D16CF8" w:rsidRDefault="00D16CF8" w:rsidP="00481703">
            <w:pPr>
              <w:pStyle w:val="Default"/>
              <w:rPr>
                <w:rStyle w:val="Style42"/>
                <w:lang w:val="hr-HR"/>
              </w:rPr>
            </w:pPr>
            <w:r>
              <w:rPr>
                <w:rStyle w:val="Style42"/>
                <w:lang w:val="hr-HR"/>
              </w:rPr>
              <w:t xml:space="preserve">  </w:t>
            </w:r>
          </w:p>
          <w:p w14:paraId="7DC88876" w14:textId="3A8CA8B1" w:rsidR="005C2F41" w:rsidRPr="00CD3F31" w:rsidRDefault="00D16CF8" w:rsidP="00481703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46D3C446" w14:textId="77777777" w:rsidR="005C2F41" w:rsidRPr="00CD3F31" w:rsidRDefault="005C2F41" w:rsidP="005C2F41"/>
    <w:p w14:paraId="451D872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A33170F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8D68EDB" w14:textId="77777777" w:rsidR="005C2F41" w:rsidRPr="00CD3F31" w:rsidRDefault="006B5623" w:rsidP="004D4B18">
                <w:pPr>
                  <w:spacing w:after="0"/>
                  <w:jc w:val="both"/>
                </w:pPr>
                <w:r>
                  <w:t xml:space="preserve"> </w:t>
                </w:r>
                <w:r w:rsidRPr="006B5623">
                  <w:rPr>
                    <w:rStyle w:val="Style46"/>
                  </w:rPr>
                  <w:t>Studenti su obvezni redovito pohađati nastavu.</w:t>
                </w:r>
              </w:p>
            </w:tc>
          </w:sdtContent>
        </w:sdt>
      </w:tr>
    </w:tbl>
    <w:p w14:paraId="1508A0CC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070D7FD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DDFB3FC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BED0FE7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</w:pPr>
                <w:r w:rsidRPr="00B54676">
                  <w:rPr>
                    <w:rFonts w:ascii="Arial Narrow" w:hAnsi="Arial Narrow" w:cs="ArialNarrow,BoldItalic"/>
                    <w:b/>
                    <w:bCs/>
                    <w:i/>
                    <w:iCs/>
                    <w:lang w:eastAsia="hr-HR"/>
                  </w:rPr>
                  <w:t xml:space="preserve"> </w:t>
                </w:r>
                <w:r w:rsidRPr="008509DC"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  <w:t>ECTS bodovni sustav ocjenjivanja:</w:t>
                </w:r>
              </w:p>
              <w:p w14:paraId="4087D361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Pravilniku o studijima </w:t>
                </w:r>
                <w:proofErr w:type="spellStart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Sveucilišta</w:t>
                </w:r>
                <w:proofErr w:type="spellEnd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u Rijeci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</w:t>
                </w:r>
                <w:proofErr w:type="spellStart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Sveucilišta</w:t>
                </w:r>
                <w:proofErr w:type="spellEnd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u Rijeci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tijekom nastave mogu ostvariti najviše </w:t>
                </w:r>
                <w:r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</w:t>
                </w: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70</w:t>
                </w: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završnom ispitu. </w:t>
                </w:r>
              </w:p>
              <w:p w14:paraId="35C50E80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Od maksimalnih </w:t>
                </w:r>
                <w:r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</w:t>
                </w: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koje je moguće ostvariti tijekom nastave, student mora ostvariti minimalno </w:t>
                </w:r>
                <w:r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15</w:t>
                </w: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da bi pristupio završnom ispitu, pod uvjetom da je pozitivno ocijenjen po svim elementima ocjenjivanja kroz nastavu.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63CA0B4E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 koji je ostvario manje od </w:t>
                </w: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>15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(F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ocjenska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kategorija) nema pravo izlaska na završni ispit te mora ponovno upisati predmet u sljedećoj akademskoj godini.</w:t>
                </w:r>
              </w:p>
              <w:p w14:paraId="5920A220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</w:t>
                </w:r>
              </w:p>
              <w:p w14:paraId="53F889F4" w14:textId="77777777" w:rsid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00D137CD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proofErr w:type="spellStart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bodove student stječe na sljedeći način:</w:t>
                </w:r>
              </w:p>
              <w:p w14:paraId="755664FF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1. Tijekom nastave student može ostvariti maksimalno </w:t>
                </w:r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30</w:t>
                </w: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% / minimalno </w:t>
                </w:r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15</w:t>
                </w: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bodova, a ocjenjuje se:</w:t>
                </w:r>
              </w:p>
              <w:p w14:paraId="1BD3130D" w14:textId="1293247A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a)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pohadanje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nastave (do </w:t>
                </w: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>30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0B8E9D29" w14:textId="77777777" w:rsidR="008509DC" w:rsidRPr="008509DC" w:rsidRDefault="008509DC" w:rsidP="008509DC">
                <w:pPr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proofErr w:type="spellStart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Pohadanje</w:t>
                </w:r>
                <w:proofErr w:type="spellEnd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nastave (do </w:t>
                </w:r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30</w:t>
                </w: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792FF3A6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Nazočnost na predavanjima</w:t>
                </w: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je obvezna, a student može izostati s </w:t>
                </w: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30% nastave isključivo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3FA32BA1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30% nastave 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i ocijenjen je ocjenom F. Pohađanje nastave (predavanja i seminari) boduje se na sljedeći način:</w:t>
                </w:r>
              </w:p>
              <w:p w14:paraId="71CD90EF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539"/>
                  <w:gridCol w:w="3402"/>
                </w:tblGrid>
                <w:tr w:rsidR="008509DC" w:rsidRPr="008509DC" w14:paraId="0DD9835A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763E0BAB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4552A039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8509DC" w:rsidRPr="008509DC" w14:paraId="25992F2B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6C90C299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08865C8C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30</w:t>
                      </w:r>
                    </w:p>
                  </w:tc>
                </w:tr>
                <w:tr w:rsidR="008509DC" w:rsidRPr="008509DC" w14:paraId="007F07A7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00B342F7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781CB600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25</w:t>
                      </w:r>
                    </w:p>
                  </w:tc>
                </w:tr>
                <w:tr w:rsidR="008509DC" w:rsidRPr="008509DC" w14:paraId="72BEE43E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24555508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78ABD2B2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20</w:t>
                      </w:r>
                    </w:p>
                  </w:tc>
                </w:tr>
                <w:tr w:rsidR="008509DC" w:rsidRPr="008509DC" w14:paraId="57982241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20472493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6452CD3A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15</w:t>
                      </w:r>
                    </w:p>
                  </w:tc>
                </w:tr>
                <w:tr w:rsidR="008509DC" w:rsidRPr="008509DC" w14:paraId="2BF93946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0266FEF2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444F2989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13170E5F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768F011D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2. Na završnom ispitu student može ostvariti maksimalno </w:t>
                </w:r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70</w:t>
                </w: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% / minimalno </w:t>
                </w:r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35</w:t>
                </w: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bodova, a ocjenjuje se:</w:t>
                </w:r>
              </w:p>
              <w:p w14:paraId="672AB4FC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a) pismeni ispit (do </w:t>
                </w:r>
                <w:r w:rsidR="008B7B48">
                  <w:rPr>
                    <w:rFonts w:asciiTheme="minorHAnsi" w:eastAsia="ArialNarrow" w:hAnsiTheme="minorHAnsi" w:cstheme="minorHAnsi"/>
                    <w:lang w:eastAsia="hr-HR"/>
                  </w:rPr>
                  <w:t>5</w:t>
                </w: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>0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6C6E26B3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b) usmeni ispit (do </w:t>
                </w:r>
                <w:r w:rsidR="008B7B48">
                  <w:rPr>
                    <w:rFonts w:asciiTheme="minorHAnsi" w:eastAsia="ArialNarrow" w:hAnsiTheme="minorHAnsi" w:cstheme="minorHAnsi"/>
                    <w:lang w:eastAsia="hr-HR"/>
                  </w:rPr>
                  <w:t>2</w:t>
                </w: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>0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58CF843B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2C10B828" w14:textId="77777777" w:rsidR="008509DC" w:rsidRPr="008509DC" w:rsidRDefault="008509DC" w:rsidP="008509DC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Pismeni ispit (do </w:t>
                </w:r>
                <w:r w:rsidR="008B7B48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5</w:t>
                </w:r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0</w:t>
                </w: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18759F84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</w:t>
                </w: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>ć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e pristupiti završnom ispitu kroz pismenu provjeru znanja (pismeni ispit) na osnovi čega može ostvariti maksimalno </w:t>
                </w:r>
                <w:r w:rsidR="008B7B48">
                  <w:rPr>
                    <w:rFonts w:asciiTheme="minorHAnsi" w:eastAsia="ArialNarrow" w:hAnsiTheme="minorHAnsi" w:cstheme="minorHAnsi"/>
                    <w:lang w:eastAsia="hr-HR"/>
                  </w:rPr>
                  <w:t>5</w:t>
                </w: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>0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bodova. Prolaznost na istom je 50% uspješno riješenih ispitnih zadataka s minimalno </w:t>
                </w: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>2</w:t>
                </w:r>
                <w:r w:rsidR="008B7B48">
                  <w:rPr>
                    <w:rFonts w:asciiTheme="minorHAnsi" w:eastAsia="ArialNarrow" w:hAnsiTheme="minorHAnsi" w:cstheme="minorHAnsi"/>
                    <w:lang w:eastAsia="hr-HR"/>
                  </w:rPr>
                  <w:t>5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što je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uvijet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za izlaznost na usmeni ispit. Negativno ocijenjen student na pismenom ispitu ne može pristupiti usmenoj provjeri znanja do god ne bude pozitivno ocijenjen, odnosno do god ne ostvari najmanje </w:t>
                </w:r>
                <w:r w:rsidR="008B7B48">
                  <w:rPr>
                    <w:rFonts w:asciiTheme="minorHAnsi" w:eastAsia="ArialNarrow" w:hAnsiTheme="minorHAnsi" w:cstheme="minorHAnsi"/>
                    <w:lang w:eastAsia="hr-HR"/>
                  </w:rPr>
                  <w:t>25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bodova, dok se rezultati postignuti tijekom nastave prenose. Maksimalan broj izlazaka na završni ispit je 3 puta u akademskoj godini prema prethodno objavljenim terminima ispitnih rokova. Postignuti rezultati pojedinog studenta boduju se na sljede</w:t>
                </w:r>
                <w:r w:rsidR="008B7B48">
                  <w:rPr>
                    <w:rFonts w:asciiTheme="minorHAnsi" w:eastAsia="ArialNarrow" w:hAnsiTheme="minorHAnsi" w:cstheme="minorHAnsi"/>
                    <w:lang w:eastAsia="hr-HR"/>
                  </w:rPr>
                  <w:t>ć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i način:</w:t>
                </w:r>
              </w:p>
              <w:p w14:paraId="73753B47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539"/>
                  <w:gridCol w:w="3402"/>
                </w:tblGrid>
                <w:tr w:rsidR="008509DC" w:rsidRPr="008509DC" w14:paraId="42623B4F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73701910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2E7E67D6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8509DC" w:rsidRPr="008509DC" w14:paraId="1E0A4AB5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4D8A12E0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  <w:vAlign w:val="center"/>
                    </w:tcPr>
                    <w:p w14:paraId="4502F8A9" w14:textId="77777777" w:rsidR="008509DC" w:rsidRPr="008509DC" w:rsidRDefault="008B7B48" w:rsidP="003438A9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50</w:t>
                      </w:r>
                    </w:p>
                  </w:tc>
                </w:tr>
                <w:tr w:rsidR="008509DC" w:rsidRPr="008509DC" w14:paraId="43AE5493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0BE0B708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  <w:vAlign w:val="center"/>
                    </w:tcPr>
                    <w:p w14:paraId="46DA6700" w14:textId="77777777" w:rsidR="008509DC" w:rsidRPr="008509DC" w:rsidRDefault="008B7B48" w:rsidP="003438A9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42</w:t>
                      </w:r>
                    </w:p>
                  </w:tc>
                </w:tr>
                <w:tr w:rsidR="008509DC" w:rsidRPr="008509DC" w14:paraId="542B5661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11EF629F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  <w:vAlign w:val="center"/>
                    </w:tcPr>
                    <w:p w14:paraId="27A731B9" w14:textId="77777777" w:rsidR="008509DC" w:rsidRPr="008509DC" w:rsidRDefault="008B7B48" w:rsidP="003438A9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34</w:t>
                      </w:r>
                    </w:p>
                  </w:tc>
                </w:tr>
                <w:tr w:rsidR="008509DC" w:rsidRPr="008509DC" w14:paraId="6E7F11AD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1D9DAEB7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  <w:vAlign w:val="center"/>
                    </w:tcPr>
                    <w:p w14:paraId="45447666" w14:textId="77777777" w:rsidR="008509DC" w:rsidRPr="008509DC" w:rsidRDefault="008B7B48" w:rsidP="003438A9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25</w:t>
                      </w:r>
                    </w:p>
                  </w:tc>
                </w:tr>
                <w:tr w:rsidR="008509DC" w:rsidRPr="008509DC" w14:paraId="12E6153D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1BD605E6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  <w:vAlign w:val="center"/>
                    </w:tcPr>
                    <w:p w14:paraId="7CACF954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09DC">
                        <w:rPr>
                          <w:rFonts w:asciiTheme="minorHAnsi" w:hAnsiTheme="minorHAnsi" w:cstheme="minorHAnsi"/>
                          <w:b/>
                        </w:rPr>
                        <w:t xml:space="preserve"> 0</w:t>
                      </w:r>
                    </w:p>
                  </w:tc>
                </w:tr>
              </w:tbl>
              <w:p w14:paraId="1FC9733E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0E56E034" w14:textId="77777777" w:rsidR="008509DC" w:rsidRPr="008509DC" w:rsidRDefault="008509DC" w:rsidP="008509DC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Usmeni ispit (do </w:t>
                </w:r>
                <w:r w:rsidR="008B7B48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20</w:t>
                </w:r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35E3D3BA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ce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pristupiti usmenoj provjeri znanja na osnovi čega može ostvariti maksimalno 20%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bodova. Student mora biti pozitivno ocijenjen i ostvariti minimalno 10%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za prolaznost na usmenom ispitu. Negativno ocijenjen student na usmenom ispitu izaći će na sljedeći ispitni rok, odnosno do god ne ostvari najmanje 1</w:t>
                </w:r>
                <w:r w:rsidR="008B7B48">
                  <w:rPr>
                    <w:rFonts w:asciiTheme="minorHAnsi" w:eastAsia="ArialNarrow" w:hAnsiTheme="minorHAnsi" w:cstheme="minorHAnsi"/>
                    <w:lang w:eastAsia="hr-HR"/>
                  </w:rPr>
                  <w:t>0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bodova, dok se rezultati postignuti na pismenom ispitu prenose. Maksimalan broj izlazaka na završni ispit je 3 puta u akademskoj godini prema prethodno objavljenim terminima ispitnih rokova. Postignuti rezultati pojedinog studenta boduju se na sljede</w:t>
                </w:r>
                <w:r w:rsidR="008B7B48">
                  <w:rPr>
                    <w:rFonts w:asciiTheme="minorHAnsi" w:eastAsia="ArialNarrow" w:hAnsiTheme="minorHAnsi" w:cstheme="minorHAnsi"/>
                    <w:lang w:eastAsia="hr-HR"/>
                  </w:rPr>
                  <w:t>ć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i način:</w:t>
                </w:r>
              </w:p>
              <w:p w14:paraId="003E6030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539"/>
                  <w:gridCol w:w="3402"/>
                </w:tblGrid>
                <w:tr w:rsidR="008509DC" w:rsidRPr="008509DC" w14:paraId="6B5D436D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73FCCE34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447F86A5" w14:textId="77777777" w:rsidR="008509DC" w:rsidRPr="008509DC" w:rsidRDefault="008509DC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8B7B48" w:rsidRPr="008509DC" w14:paraId="2ACAA90B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73F0A47B" w14:textId="77777777" w:rsidR="008B7B48" w:rsidRPr="008509DC" w:rsidRDefault="008B7B48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71E2F47F" w14:textId="77777777" w:rsidR="008B7B48" w:rsidRPr="008509DC" w:rsidRDefault="008B7B48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20</w:t>
                      </w:r>
                    </w:p>
                  </w:tc>
                </w:tr>
                <w:tr w:rsidR="008B7B48" w:rsidRPr="008509DC" w14:paraId="7FA43244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3BC3DD0B" w14:textId="77777777" w:rsidR="008B7B48" w:rsidRPr="008509DC" w:rsidRDefault="008B7B48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</w:rPr>
                        <w:lastRenderedPageBreak/>
                        <w:t>4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6403C4DD" w14:textId="77777777" w:rsidR="008B7B48" w:rsidRPr="008509DC" w:rsidRDefault="008B7B48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16</w:t>
                      </w:r>
                    </w:p>
                  </w:tc>
                </w:tr>
                <w:tr w:rsidR="008B7B48" w:rsidRPr="008509DC" w14:paraId="03ACC8DB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59294EB1" w14:textId="77777777" w:rsidR="008B7B48" w:rsidRPr="008509DC" w:rsidRDefault="008B7B48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20BCBD09" w14:textId="77777777" w:rsidR="008B7B48" w:rsidRPr="008509DC" w:rsidRDefault="008B7B48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14</w:t>
                      </w:r>
                    </w:p>
                  </w:tc>
                </w:tr>
                <w:tr w:rsidR="008B7B48" w:rsidRPr="008509DC" w14:paraId="5FFAE409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16A23115" w14:textId="77777777" w:rsidR="008B7B48" w:rsidRPr="008509DC" w:rsidRDefault="008B7B48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6741BCF5" w14:textId="77777777" w:rsidR="008B7B48" w:rsidRPr="008509DC" w:rsidRDefault="008B7B48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10</w:t>
                      </w:r>
                    </w:p>
                  </w:tc>
                </w:tr>
                <w:tr w:rsidR="008B7B48" w:rsidRPr="008509DC" w14:paraId="15425F4A" w14:textId="77777777" w:rsidTr="00DA440F">
                  <w:tc>
                    <w:tcPr>
                      <w:tcW w:w="3539" w:type="dxa"/>
                      <w:shd w:val="clear" w:color="auto" w:fill="auto"/>
                    </w:tcPr>
                    <w:p w14:paraId="370B0FBA" w14:textId="77777777" w:rsidR="008B7B48" w:rsidRPr="008509DC" w:rsidRDefault="008B7B48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8509DC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3402" w:type="dxa"/>
                      <w:shd w:val="clear" w:color="auto" w:fill="auto"/>
                    </w:tcPr>
                    <w:p w14:paraId="3E671FF9" w14:textId="77777777" w:rsidR="008B7B48" w:rsidRPr="008509DC" w:rsidRDefault="008B7B48" w:rsidP="003438A9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8509DC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2E4E4677" w14:textId="3B907899" w:rsidR="008509DC" w:rsidRPr="008509DC" w:rsidRDefault="003438A9" w:rsidP="003438A9">
                <w:pPr>
                  <w:tabs>
                    <w:tab w:val="left" w:pos="5200"/>
                  </w:tabs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ab/>
                </w:r>
              </w:p>
              <w:p w14:paraId="0BF21FFF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Konačna ocjena</w:t>
                </w: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 kroz nastavu i završni ispit odnosno donosi se na temelju zbroja svih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ECTS sustava prema kriteriju:</w:t>
                </w:r>
              </w:p>
              <w:p w14:paraId="62C2282A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A = 90 - 100% </w:t>
                </w:r>
                <w:proofErr w:type="spellStart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</w:p>
              <w:p w14:paraId="4D8BCBBE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B = 75 - 89,9%  </w:t>
                </w:r>
              </w:p>
              <w:p w14:paraId="071414DD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287117C9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15AA4806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4099C507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662875E2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393F3EDC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4A5B5D01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 = vrlo dobar (4)</w:t>
                </w:r>
              </w:p>
              <w:p w14:paraId="2E0BDC76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18156054" w14:textId="77777777" w:rsidR="008509DC" w:rsidRPr="008509DC" w:rsidRDefault="008509DC" w:rsidP="008509DC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071D389B" w14:textId="77777777" w:rsidR="008509DC" w:rsidRPr="008509DC" w:rsidRDefault="008509DC" w:rsidP="008509DC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8509DC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07114DBB" w14:textId="77777777" w:rsidR="005C2F41" w:rsidRPr="00FE56D6" w:rsidRDefault="005C2F41" w:rsidP="00F112D5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</w:p>
            </w:tc>
          </w:sdtContent>
        </w:sdt>
      </w:tr>
    </w:tbl>
    <w:p w14:paraId="4A08951A" w14:textId="77777777" w:rsidR="005C2F41" w:rsidRPr="00CD3F31" w:rsidRDefault="005C2F41" w:rsidP="005C2F41">
      <w:pPr>
        <w:jc w:val="both"/>
      </w:pPr>
    </w:p>
    <w:p w14:paraId="464CD605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98EE02C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BB53EA" w14:textId="77777777" w:rsidR="005C2F41" w:rsidRPr="00CD3F31" w:rsidRDefault="00EA2FC4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Za sada ne postoji</w:t>
                </w:r>
              </w:p>
            </w:tc>
          </w:sdtContent>
        </w:sdt>
      </w:tr>
    </w:tbl>
    <w:p w14:paraId="493AB93F" w14:textId="77777777" w:rsidR="005C2F41" w:rsidRPr="00CD3F31" w:rsidRDefault="005C2F41" w:rsidP="005C2F41">
      <w:pPr>
        <w:jc w:val="both"/>
        <w:rPr>
          <w:rFonts w:cs="Arial"/>
        </w:rPr>
      </w:pPr>
    </w:p>
    <w:p w14:paraId="6CE187BE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691D9E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1946FCE" w14:textId="1CBEA381" w:rsidR="005C2F41" w:rsidRPr="00CD3F31" w:rsidRDefault="000078F5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078F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Nastavni sadržaji i sve obavijesti vezane uz kolegij kao i ispitni termini nalaze se na mrežnim stranicama Fakulteta zdravstvenih studija Sveučilišta u Rijeci,  Katedre za primaljstvo </w:t>
                </w:r>
              </w:p>
            </w:tc>
          </w:sdtContent>
        </w:sdt>
      </w:tr>
    </w:tbl>
    <w:p w14:paraId="14621365" w14:textId="77777777" w:rsidR="005C2F41" w:rsidRDefault="005C2F41" w:rsidP="005C2F41">
      <w:pPr>
        <w:rPr>
          <w:b/>
          <w:color w:val="333399"/>
        </w:rPr>
      </w:pPr>
    </w:p>
    <w:p w14:paraId="118ED4C6" w14:textId="77777777" w:rsidR="00DA440F" w:rsidRDefault="00DA440F" w:rsidP="005C2F41">
      <w:pPr>
        <w:rPr>
          <w:b/>
          <w:color w:val="333399"/>
        </w:rPr>
      </w:pPr>
    </w:p>
    <w:p w14:paraId="2F85638E" w14:textId="77777777" w:rsidR="00DA440F" w:rsidRDefault="00DA440F" w:rsidP="005C2F41">
      <w:pPr>
        <w:rPr>
          <w:b/>
          <w:color w:val="333399"/>
        </w:rPr>
      </w:pPr>
    </w:p>
    <w:p w14:paraId="2B491E32" w14:textId="77777777" w:rsidR="00DA440F" w:rsidRDefault="00DA440F" w:rsidP="005C2F41">
      <w:pPr>
        <w:rPr>
          <w:b/>
          <w:color w:val="333399"/>
        </w:rPr>
      </w:pPr>
    </w:p>
    <w:p w14:paraId="2F183550" w14:textId="77777777" w:rsidR="00DA440F" w:rsidRDefault="00DA440F" w:rsidP="005C2F41">
      <w:pPr>
        <w:rPr>
          <w:b/>
          <w:color w:val="333399"/>
        </w:rPr>
      </w:pPr>
    </w:p>
    <w:p w14:paraId="4EC20D09" w14:textId="77777777" w:rsidR="00DA440F" w:rsidRPr="00CD3F31" w:rsidRDefault="00DA440F" w:rsidP="005C2F41">
      <w:pPr>
        <w:rPr>
          <w:b/>
          <w:color w:val="333399"/>
        </w:rPr>
      </w:pPr>
    </w:p>
    <w:p w14:paraId="057AFD59" w14:textId="29A5BEDE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IZVOĐENJA NASTAVE (za akademsku 20</w:t>
      </w:r>
      <w:r w:rsidR="00DA440F">
        <w:rPr>
          <w:rFonts w:cs="Arial"/>
          <w:b/>
          <w:color w:val="FF0000"/>
          <w:sz w:val="32"/>
        </w:rPr>
        <w:t>2</w:t>
      </w:r>
      <w:r w:rsidR="008657F6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./20</w:t>
      </w:r>
      <w:r w:rsidR="00BA32E9">
        <w:rPr>
          <w:rFonts w:cs="Arial"/>
          <w:b/>
          <w:color w:val="FF0000"/>
          <w:sz w:val="32"/>
        </w:rPr>
        <w:t>2</w:t>
      </w:r>
      <w:r w:rsidR="008657F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5A55E21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35F78C0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BCFBDB6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BADC6C8" w14:textId="77777777" w:rsidR="005C2F41" w:rsidRPr="000D35C1" w:rsidRDefault="005C2F41" w:rsidP="000D35C1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0D35C1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4AFD46D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8753768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DB7A82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EA2FC4" w:rsidRPr="00CD3F31" w14:paraId="1C37278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C35788" w14:textId="7704025A" w:rsidR="00EA2FC4" w:rsidRPr="00CD3F31" w:rsidRDefault="008657F6" w:rsidP="00EA2FC4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</w:t>
            </w:r>
            <w:r w:rsidR="00AD43F2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AD43F2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EA2FC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1F3B2" w14:textId="6EB3A6E8" w:rsidR="00EA2FC4" w:rsidRDefault="00EA2FC4" w:rsidP="000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</w:pPr>
            <w:r w:rsidRPr="000D35C1"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>P1</w:t>
            </w:r>
            <w:r w:rsidR="00B569BF"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 xml:space="preserve"> (08:15-09:</w:t>
            </w:r>
            <w:r w:rsidR="00F830C6"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>00)</w:t>
            </w:r>
          </w:p>
          <w:p w14:paraId="36EEADBC" w14:textId="0795125B" w:rsidR="000D35C1" w:rsidRPr="000D35C1" w:rsidRDefault="008657F6" w:rsidP="000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>FZSRI sala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BD65E" w14:textId="77777777" w:rsidR="00EA2FC4" w:rsidRDefault="00EA2FC4" w:rsidP="00EA2FC4">
            <w:pPr>
              <w:suppressAutoHyphens/>
              <w:spacing w:line="256" w:lineRule="auto"/>
              <w:ind w:right="34"/>
              <w:rPr>
                <w:rFonts w:ascii="Arial Narrow" w:hAnsi="Arial Narrow"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BC284" w14:textId="77777777" w:rsidR="00EA2FC4" w:rsidRDefault="00EA2FC4" w:rsidP="00EA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523138" w14:textId="77777777" w:rsidR="00EA2FC4" w:rsidRPr="00CD3F31" w:rsidRDefault="000D35C1" w:rsidP="00EA2FC4">
            <w:pPr>
              <w:jc w:val="center"/>
              <w:rPr>
                <w:bCs/>
              </w:rPr>
            </w:pPr>
            <w:r>
              <w:rPr>
                <w:bCs/>
              </w:rPr>
              <w:t>Damir Ćerimagić</w:t>
            </w:r>
          </w:p>
        </w:tc>
      </w:tr>
      <w:tr w:rsidR="00EA2FC4" w:rsidRPr="00CD3F31" w14:paraId="15A1B9D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36AF0" w14:textId="01A2B3AB" w:rsidR="00EA2FC4" w:rsidRPr="00CD3F31" w:rsidRDefault="008657F6" w:rsidP="00EA2FC4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</w:t>
            </w:r>
            <w:r w:rsidR="00AD43F2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AD43F2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EA2FC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A4252" w14:textId="7C2C5EB3" w:rsidR="00EA2FC4" w:rsidRDefault="000D35C1" w:rsidP="00B5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</w:pPr>
            <w:r w:rsidRPr="000D35C1"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>P</w:t>
            </w:r>
            <w:r w:rsidR="00C93AAE"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>2</w:t>
            </w:r>
            <w:r w:rsidR="00B569BF"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>(</w:t>
            </w:r>
            <w:r w:rsidR="00F830C6"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>09:15</w:t>
            </w:r>
            <w:r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 xml:space="preserve"> -</w:t>
            </w:r>
            <w:r w:rsidR="00DA440F"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>10:45</w:t>
            </w:r>
            <w:r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>)</w:t>
            </w:r>
          </w:p>
          <w:p w14:paraId="1CAF020F" w14:textId="4CC039F5" w:rsidR="00B569BF" w:rsidRPr="000D35C1" w:rsidRDefault="008657F6" w:rsidP="00B5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pacing w:val="-9"/>
                <w:lang w:val="pl-PL" w:eastAsia="hr-HR"/>
              </w:rPr>
              <w:t>FZSRI sala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EEAAC2" w14:textId="77777777" w:rsidR="00EA2FC4" w:rsidRDefault="00EA2FC4" w:rsidP="00EA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angal"/>
                <w:b/>
                <w:bCs/>
                <w:i/>
                <w:iCs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197585" w14:textId="77777777" w:rsidR="00EA2FC4" w:rsidRDefault="00EA2FC4" w:rsidP="00EA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BE4D20" w14:textId="77777777" w:rsidR="00EA2FC4" w:rsidRPr="00CD3F31" w:rsidRDefault="000D35C1" w:rsidP="00EA2FC4">
            <w:pPr>
              <w:jc w:val="center"/>
              <w:rPr>
                <w:bCs/>
              </w:rPr>
            </w:pPr>
            <w:r>
              <w:rPr>
                <w:bCs/>
              </w:rPr>
              <w:t>Damir Ćerimagić</w:t>
            </w:r>
          </w:p>
        </w:tc>
      </w:tr>
      <w:tr w:rsidR="00EA2FC4" w:rsidRPr="00CD3F31" w14:paraId="608631C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623DB2" w14:textId="6714228D" w:rsidR="00EA2FC4" w:rsidRPr="00CD3F31" w:rsidRDefault="00772CB4" w:rsidP="00EA2FC4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8657F6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 w:rsidR="000D35C1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F830C6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0D35C1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8657F6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0D35C1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E5CD66" w14:textId="3B3EF558" w:rsidR="000D35C1" w:rsidRDefault="000D35C1" w:rsidP="00B569B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P3 </w:t>
            </w:r>
            <w:r w:rsidR="00B569BF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(08:15-</w:t>
            </w:r>
            <w:r w:rsidR="00F830C6">
              <w:rPr>
                <w:rFonts w:asciiTheme="minorHAnsi" w:hAnsiTheme="minorHAnsi" w:cstheme="minorHAnsi"/>
                <w:bCs/>
                <w:color w:val="auto"/>
                <w:lang w:val="hr-HR"/>
              </w:rPr>
              <w:t>10:45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)</w:t>
            </w:r>
          </w:p>
          <w:p w14:paraId="6A05A615" w14:textId="057C5608" w:rsidR="00B569BF" w:rsidRPr="000D35C1" w:rsidRDefault="008657F6" w:rsidP="00B569B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FZSRI sala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16059" w14:textId="77777777" w:rsidR="00EA2FC4" w:rsidRPr="00CD3F31" w:rsidRDefault="00EA2FC4" w:rsidP="00EA2FC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9A25AE" w14:textId="77777777" w:rsidR="00EA2FC4" w:rsidRPr="00CD3F31" w:rsidRDefault="00EA2FC4" w:rsidP="00EA2FC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434B1" w14:textId="48C7FF22" w:rsidR="00EA2FC4" w:rsidRPr="00CD3F31" w:rsidRDefault="00772CB4" w:rsidP="00EA2FC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Đeni</w:t>
            </w:r>
            <w:proofErr w:type="spellEnd"/>
            <w:r>
              <w:rPr>
                <w:bCs/>
              </w:rPr>
              <w:t xml:space="preserve"> Andrić / </w:t>
            </w:r>
            <w:r w:rsidR="00D16BF8">
              <w:rPr>
                <w:bCs/>
              </w:rPr>
              <w:t xml:space="preserve">Damir </w:t>
            </w:r>
            <w:proofErr w:type="spellStart"/>
            <w:r w:rsidR="00D16BF8">
              <w:rPr>
                <w:bCs/>
              </w:rPr>
              <w:t>Ćerimagić</w:t>
            </w:r>
            <w:proofErr w:type="spellEnd"/>
          </w:p>
        </w:tc>
      </w:tr>
      <w:tr w:rsidR="00EA2FC4" w:rsidRPr="00CD3F31" w14:paraId="33FA623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30AA70" w14:textId="3EC41136" w:rsidR="00EA2FC4" w:rsidRPr="00CD3F31" w:rsidRDefault="00F830C6" w:rsidP="00EA2FC4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8657F6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 w:rsidR="008657F6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E3C9AB" w14:textId="1FA1C3E3" w:rsidR="00F830C6" w:rsidRDefault="00F830C6" w:rsidP="00F830C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P4  (08:15-10:45)</w:t>
            </w:r>
          </w:p>
          <w:p w14:paraId="4FABEEA0" w14:textId="7432A36A" w:rsidR="00B569BF" w:rsidRPr="000D35C1" w:rsidRDefault="008657F6" w:rsidP="00F830C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FZSRI sala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E4EB0" w14:textId="77777777" w:rsidR="00EA2FC4" w:rsidRPr="00CD3F31" w:rsidRDefault="00EA2FC4" w:rsidP="00EA2FC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4D7240" w14:textId="77777777" w:rsidR="00EA2FC4" w:rsidRPr="00CD3F31" w:rsidRDefault="00EA2FC4" w:rsidP="00EA2FC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2509EA" w14:textId="77777777" w:rsidR="00EA2FC4" w:rsidRPr="00CD3F31" w:rsidRDefault="00D16BF8" w:rsidP="00EA2FC4">
            <w:pPr>
              <w:jc w:val="center"/>
              <w:rPr>
                <w:bCs/>
              </w:rPr>
            </w:pPr>
            <w:r>
              <w:rPr>
                <w:bCs/>
              </w:rPr>
              <w:t>Damir Ćerimagić</w:t>
            </w:r>
          </w:p>
        </w:tc>
      </w:tr>
      <w:tr w:rsidR="00B569BF" w:rsidRPr="00CD3F31" w14:paraId="076735F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612AC" w14:textId="43439418" w:rsidR="00B569BF" w:rsidRDefault="008657F6" w:rsidP="00EA2FC4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</w:t>
            </w:r>
            <w:r w:rsidR="00F830C6"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F830C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D78CEB" w14:textId="728CBD0B" w:rsidR="00F830C6" w:rsidRDefault="00F830C6" w:rsidP="00F830C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P5  (08:15-10:45)</w:t>
            </w:r>
          </w:p>
          <w:p w14:paraId="01E5A4FE" w14:textId="55B41A02" w:rsidR="00B569BF" w:rsidRDefault="008657F6" w:rsidP="00F830C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FZSRI sala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F75606" w14:textId="77777777" w:rsidR="00B569BF" w:rsidRPr="00CD3F31" w:rsidRDefault="00B569BF" w:rsidP="00EA2FC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AC1566" w14:textId="77777777" w:rsidR="00B569BF" w:rsidRPr="00CD3F31" w:rsidRDefault="00B569BF" w:rsidP="00EA2FC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BDC625" w14:textId="77777777" w:rsidR="00B569BF" w:rsidRPr="00CD3F31" w:rsidRDefault="00D16BF8" w:rsidP="00EA2FC4">
            <w:pPr>
              <w:jc w:val="center"/>
              <w:rPr>
                <w:bCs/>
              </w:rPr>
            </w:pPr>
            <w:r>
              <w:rPr>
                <w:bCs/>
              </w:rPr>
              <w:t>Damir Ćerimagić</w:t>
            </w:r>
          </w:p>
        </w:tc>
      </w:tr>
      <w:tr w:rsidR="00B569BF" w:rsidRPr="00CD3F31" w14:paraId="5F2EFD3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ED566" w14:textId="7EA913A9" w:rsidR="00B569BF" w:rsidRDefault="00D419AB" w:rsidP="00EA2FC4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8657F6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 w:rsidR="00F830C6"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 w:rsidR="008657F6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F830C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D3D717" w14:textId="10D63862" w:rsidR="00F830C6" w:rsidRDefault="00F830C6" w:rsidP="00F830C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P6  (08:15-10:45)</w:t>
            </w:r>
          </w:p>
          <w:p w14:paraId="2F0B9CBA" w14:textId="7956AC58" w:rsidR="00B569BF" w:rsidRDefault="008657F6" w:rsidP="00F830C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FZSRI sala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885333" w14:textId="77777777" w:rsidR="00B569BF" w:rsidRPr="00CD3F31" w:rsidRDefault="00B569BF" w:rsidP="00EA2FC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ECBE3E" w14:textId="77777777" w:rsidR="00B569BF" w:rsidRPr="00CD3F31" w:rsidRDefault="00B569BF" w:rsidP="00EA2FC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4B2DF7" w14:textId="77777777" w:rsidR="00B569BF" w:rsidRPr="00CD3F31" w:rsidRDefault="00D16BF8" w:rsidP="00EA2FC4">
            <w:pPr>
              <w:jc w:val="center"/>
              <w:rPr>
                <w:bCs/>
              </w:rPr>
            </w:pPr>
            <w:r>
              <w:rPr>
                <w:bCs/>
              </w:rPr>
              <w:t>Damir Ćerimagić</w:t>
            </w:r>
          </w:p>
        </w:tc>
      </w:tr>
      <w:tr w:rsidR="00B569BF" w:rsidRPr="00CD3F31" w14:paraId="67CD7585" w14:textId="77777777" w:rsidTr="00F830C6">
        <w:trPr>
          <w:trHeight w:val="459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B653A6" w14:textId="6B419701" w:rsidR="00B569BF" w:rsidRPr="00C13926" w:rsidRDefault="00C13926" w:rsidP="00EA2FC4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1392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</w:t>
            </w:r>
            <w:r w:rsidR="008657F6">
              <w:rPr>
                <w:rFonts w:asciiTheme="minorHAnsi" w:hAnsiTheme="minorHAnsi" w:cstheme="minorHAnsi"/>
                <w:b w:val="0"/>
              </w:rPr>
              <w:t>7</w:t>
            </w:r>
            <w:r w:rsidRPr="00C13926">
              <w:rPr>
                <w:rFonts w:asciiTheme="minorHAnsi" w:hAnsiTheme="minorHAnsi" w:cstheme="minorHAnsi"/>
                <w:b w:val="0"/>
              </w:rPr>
              <w:t>.</w:t>
            </w:r>
            <w:r w:rsidR="00F830C6" w:rsidRPr="00C1392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03.202</w:t>
            </w:r>
            <w:r w:rsidR="008657F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="00F830C6" w:rsidRPr="00C1392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2D9882" w14:textId="64141C4A" w:rsidR="00B569BF" w:rsidRDefault="00B569BF" w:rsidP="00B569B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406FB3" w14:textId="77777777" w:rsidR="00B569BF" w:rsidRPr="00CD3F31" w:rsidRDefault="00B569BF" w:rsidP="00EA2FC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4CBFA4" w14:textId="6D636C5B" w:rsidR="00F830C6" w:rsidRDefault="00F830C6" w:rsidP="00F830C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V1 (08:15-12:00)</w:t>
            </w:r>
          </w:p>
          <w:p w14:paraId="7109C98A" w14:textId="37FDD59B" w:rsidR="00B569BF" w:rsidRPr="00CD3F31" w:rsidRDefault="00F830C6" w:rsidP="00F830C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Kabinet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5B715" w14:textId="52304A3D" w:rsidR="00B569BF" w:rsidRPr="00CD3F31" w:rsidRDefault="00F830C6" w:rsidP="00F830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Damir </w:t>
            </w:r>
            <w:proofErr w:type="spellStart"/>
            <w:r>
              <w:rPr>
                <w:bCs/>
              </w:rPr>
              <w:t>Ćerimagić</w:t>
            </w:r>
            <w:proofErr w:type="spellEnd"/>
          </w:p>
        </w:tc>
      </w:tr>
      <w:tr w:rsidR="000078F5" w:rsidRPr="00CD3F31" w14:paraId="7A0E80DA" w14:textId="77777777" w:rsidTr="00F830C6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6CCD9" w14:textId="082EEA4C" w:rsidR="000078F5" w:rsidRDefault="008657F6" w:rsidP="00EA2FC4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</w:t>
            </w:r>
            <w:r w:rsidR="00F830C6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C13926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F830C6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F830C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D86BC" w14:textId="6E5C774F" w:rsidR="000078F5" w:rsidRDefault="000078F5" w:rsidP="00B569B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06C90B" w14:textId="77777777" w:rsidR="000078F5" w:rsidRPr="00CD3F31" w:rsidRDefault="000078F5" w:rsidP="00EA2FC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123BAD" w14:textId="4EF46BA5" w:rsidR="00F830C6" w:rsidRDefault="00F830C6" w:rsidP="00F830C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V2 (08:15-12:00)</w:t>
            </w:r>
          </w:p>
          <w:p w14:paraId="415B704E" w14:textId="10881EE9" w:rsidR="000078F5" w:rsidRPr="00CD3F31" w:rsidRDefault="00F830C6" w:rsidP="00F830C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Kabinet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F03AD9" w14:textId="3C57A5E1" w:rsidR="000078F5" w:rsidRDefault="00F830C6" w:rsidP="00F830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Damir </w:t>
            </w:r>
            <w:proofErr w:type="spellStart"/>
            <w:r>
              <w:rPr>
                <w:bCs/>
              </w:rPr>
              <w:t>Ćerimagić</w:t>
            </w:r>
            <w:proofErr w:type="spellEnd"/>
          </w:p>
        </w:tc>
      </w:tr>
      <w:tr w:rsidR="00F830C6" w:rsidRPr="00CD3F31" w14:paraId="41C6C3CB" w14:textId="77777777" w:rsidTr="00F830C6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F7A4B" w14:textId="1090393C" w:rsidR="00F830C6" w:rsidRDefault="008657F6" w:rsidP="00EA2FC4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</w:t>
            </w:r>
            <w:r w:rsidR="00F830C6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C13926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F830C6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C13926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F830C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838D34" w14:textId="77777777" w:rsidR="00F830C6" w:rsidRDefault="00F830C6" w:rsidP="00B569B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CCC467" w14:textId="77777777" w:rsidR="00F830C6" w:rsidRPr="00CD3F31" w:rsidRDefault="00F830C6" w:rsidP="00EA2FC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DE0A3" w14:textId="77777777" w:rsidR="00F830C6" w:rsidRDefault="00F830C6" w:rsidP="00F830C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V2 (08:15-12:00)</w:t>
            </w:r>
          </w:p>
          <w:p w14:paraId="7A978C50" w14:textId="17AF8C15" w:rsidR="00F830C6" w:rsidRDefault="00F830C6" w:rsidP="00F830C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Kabinet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EEE4A8" w14:textId="0983764B" w:rsidR="00F830C6" w:rsidRDefault="00F830C6" w:rsidP="00F830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Damir </w:t>
            </w:r>
            <w:proofErr w:type="spellStart"/>
            <w:r>
              <w:rPr>
                <w:bCs/>
              </w:rPr>
              <w:t>Ćerimagić</w:t>
            </w:r>
            <w:proofErr w:type="spellEnd"/>
          </w:p>
        </w:tc>
      </w:tr>
    </w:tbl>
    <w:p w14:paraId="19722C4D" w14:textId="77777777" w:rsidR="005C2F41" w:rsidRPr="00CD3F31" w:rsidRDefault="00BD6B4F" w:rsidP="00C61DB9">
      <w:pPr>
        <w:spacing w:after="200" w:line="276" w:lineRule="auto"/>
        <w:rPr>
          <w:b/>
        </w:rPr>
      </w:pPr>
      <w:r w:rsidRPr="00CD3F31">
        <w:rPr>
          <w:b/>
        </w:rPr>
        <w:br w:type="page"/>
      </w:r>
      <w:r w:rsidR="005C2F41"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14AD04A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C1A384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4ECC4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3BF0E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8962F9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547CE23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969F7" w14:textId="77777777" w:rsidR="005C2F41" w:rsidRPr="00CD3F31" w:rsidRDefault="009243E9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31201" w14:textId="64435FE0" w:rsidR="005C2F41" w:rsidRPr="00CD3F31" w:rsidRDefault="00AD43F2" w:rsidP="00AD43F2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D43F2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Uvodno predavanje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69212" w14:textId="1BB3E2B3" w:rsidR="005C2F41" w:rsidRPr="00CD3F31" w:rsidRDefault="00AD43F2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E90FC" w14:textId="4ADC64BF" w:rsidR="005C2F41" w:rsidRPr="00CD3F31" w:rsidRDefault="008657F6" w:rsidP="00AA6176">
            <w:pPr>
              <w:spacing w:after="0"/>
              <w:jc w:val="center"/>
            </w:pPr>
            <w:r>
              <w:t>FZSRI sala</w:t>
            </w:r>
          </w:p>
        </w:tc>
      </w:tr>
      <w:tr w:rsidR="008657F6" w:rsidRPr="00CD3F31" w14:paraId="2C1D7CC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F73E8" w14:textId="77777777" w:rsidR="008657F6" w:rsidRPr="00CD3F31" w:rsidRDefault="008657F6" w:rsidP="008657F6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E64E5" w14:textId="65DFAAC6" w:rsidR="008657F6" w:rsidRPr="00CD3F31" w:rsidRDefault="008657F6" w:rsidP="008657F6">
            <w:pPr>
              <w:pStyle w:val="Default"/>
              <w:tabs>
                <w:tab w:val="left" w:pos="3378"/>
              </w:tabs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D43F2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Opći postupci u sprječavanju infekcija – dezinfekcija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18852" w14:textId="052DE73E" w:rsidR="008657F6" w:rsidRPr="00CD3F31" w:rsidRDefault="008657F6" w:rsidP="008657F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7978B" w14:textId="3D54459E" w:rsidR="008657F6" w:rsidRPr="00CD3F31" w:rsidRDefault="008657F6" w:rsidP="008657F6">
            <w:pPr>
              <w:spacing w:after="0"/>
              <w:jc w:val="center"/>
            </w:pPr>
            <w:r w:rsidRPr="001962E7">
              <w:t>FZSRI sala</w:t>
            </w:r>
          </w:p>
        </w:tc>
      </w:tr>
      <w:tr w:rsidR="008657F6" w:rsidRPr="00CD3F31" w14:paraId="1459D1A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78FA5" w14:textId="77777777" w:rsidR="008657F6" w:rsidRPr="00CD3F31" w:rsidRDefault="008657F6" w:rsidP="008657F6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E61C5" w14:textId="6279098A" w:rsidR="008657F6" w:rsidRPr="00CD3F31" w:rsidRDefault="008657F6" w:rsidP="008657F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D43F2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Sterilizacija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97837" w14:textId="0347F731" w:rsidR="008657F6" w:rsidRPr="00CD3F31" w:rsidRDefault="008657F6" w:rsidP="008657F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5C8EC" w14:textId="3CB3EB81" w:rsidR="008657F6" w:rsidRPr="00CD3F31" w:rsidRDefault="008657F6" w:rsidP="008657F6">
            <w:pPr>
              <w:spacing w:after="0"/>
              <w:jc w:val="center"/>
            </w:pPr>
            <w:r w:rsidRPr="001962E7">
              <w:t>FZSRI sala</w:t>
            </w:r>
          </w:p>
        </w:tc>
      </w:tr>
      <w:tr w:rsidR="008657F6" w:rsidRPr="00CD3F31" w14:paraId="635D477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C3421" w14:textId="77777777" w:rsidR="008657F6" w:rsidRPr="00CD3F31" w:rsidRDefault="008657F6" w:rsidP="008657F6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8AEA1" w14:textId="6EEDE642" w:rsidR="008657F6" w:rsidRPr="00CD3F31" w:rsidRDefault="008657F6" w:rsidP="008657F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D43F2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Organizacija operacijske sale/dvorane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02BC2" w14:textId="6B4487CA" w:rsidR="008657F6" w:rsidRPr="00CD3F31" w:rsidRDefault="008657F6" w:rsidP="008657F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B8014" w14:textId="0FBF8072" w:rsidR="008657F6" w:rsidRPr="00CD3F31" w:rsidRDefault="008657F6" w:rsidP="008657F6">
            <w:pPr>
              <w:spacing w:after="0"/>
              <w:jc w:val="center"/>
            </w:pPr>
            <w:r w:rsidRPr="001962E7">
              <w:t>FZSRI sala</w:t>
            </w:r>
          </w:p>
        </w:tc>
      </w:tr>
      <w:tr w:rsidR="008657F6" w:rsidRPr="00CD3F31" w14:paraId="5DB1DBF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CB0E0" w14:textId="77777777" w:rsidR="008657F6" w:rsidRPr="00CD3F31" w:rsidRDefault="008657F6" w:rsidP="008657F6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A3DC5" w14:textId="04B26453" w:rsidR="008657F6" w:rsidRPr="00CD3F31" w:rsidRDefault="008657F6" w:rsidP="008657F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D43F2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Organizacija </w:t>
            </w:r>
            <w:proofErr w:type="spellStart"/>
            <w:r w:rsidRPr="00AD43F2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laparoskopske</w:t>
            </w:r>
            <w:proofErr w:type="spellEnd"/>
            <w:r w:rsidRPr="00AD43F2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sale/jedinice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0717A" w14:textId="6D47F69E" w:rsidR="008657F6" w:rsidRPr="00CD3F31" w:rsidRDefault="008657F6" w:rsidP="008657F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E3706" w14:textId="1F6F65CC" w:rsidR="008657F6" w:rsidRPr="00CD3F31" w:rsidRDefault="008657F6" w:rsidP="008657F6">
            <w:pPr>
              <w:spacing w:after="0"/>
              <w:jc w:val="center"/>
            </w:pPr>
            <w:r w:rsidRPr="001962E7">
              <w:t>FZSRI sala</w:t>
            </w:r>
          </w:p>
        </w:tc>
      </w:tr>
      <w:tr w:rsidR="008657F6" w:rsidRPr="00CD3F31" w14:paraId="79079AD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147AA" w14:textId="77777777" w:rsidR="008657F6" w:rsidRDefault="008657F6" w:rsidP="008657F6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6F490" w14:textId="6EA4F17C" w:rsidR="008657F6" w:rsidRPr="00C93AAE" w:rsidRDefault="008657F6" w:rsidP="008657F6">
            <w:pPr>
              <w:pStyle w:val="Default"/>
              <w:tabs>
                <w:tab w:val="left" w:pos="3289"/>
              </w:tabs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D43F2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Kirurški instrumenti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10DCD" w14:textId="61BE7F34" w:rsidR="008657F6" w:rsidRDefault="008657F6" w:rsidP="008657F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B7B57" w14:textId="2D7CA607" w:rsidR="008657F6" w:rsidRPr="00CD3F31" w:rsidRDefault="008657F6" w:rsidP="008657F6">
            <w:pPr>
              <w:spacing w:after="0"/>
              <w:jc w:val="center"/>
            </w:pPr>
            <w:r w:rsidRPr="001962E7">
              <w:t>FZSRI sala</w:t>
            </w:r>
          </w:p>
        </w:tc>
      </w:tr>
      <w:tr w:rsidR="00C93AAE" w:rsidRPr="00CD3F31" w14:paraId="27BC267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BE29A" w14:textId="51EFD065" w:rsidR="00C93AAE" w:rsidRDefault="00C93AAE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10649" w14:textId="55424E81" w:rsidR="00C93AAE" w:rsidRPr="00C93AAE" w:rsidRDefault="00C93AA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AFE48" w14:textId="12EAD035" w:rsidR="00C93AAE" w:rsidRDefault="00C93AAE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9C8E0" w14:textId="3D0F66E2" w:rsidR="00C93AAE" w:rsidRPr="00CD3F31" w:rsidRDefault="00C93AAE" w:rsidP="00A05341">
            <w:pPr>
              <w:spacing w:after="0"/>
              <w:jc w:val="center"/>
            </w:pPr>
          </w:p>
        </w:tc>
      </w:tr>
      <w:tr w:rsidR="00C93AAE" w:rsidRPr="00CD3F31" w14:paraId="562E300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CB56A" w14:textId="781A91EC" w:rsidR="00C93AAE" w:rsidRDefault="00C93AAE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88BF6" w14:textId="62572114" w:rsidR="00C93AAE" w:rsidRPr="00C93AAE" w:rsidRDefault="00C93AA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E17EF" w14:textId="54E14D16" w:rsidR="00C93AAE" w:rsidRDefault="00C93AAE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9152E" w14:textId="6BCA8F1D" w:rsidR="00C93AAE" w:rsidRPr="00CD3F31" w:rsidRDefault="00C93AAE" w:rsidP="00A05341">
            <w:pPr>
              <w:spacing w:after="0"/>
              <w:jc w:val="center"/>
            </w:pPr>
          </w:p>
        </w:tc>
      </w:tr>
      <w:tr w:rsidR="00C93AAE" w:rsidRPr="00CD3F31" w14:paraId="2093F2A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A9720" w14:textId="1EB0D4EA" w:rsidR="00C93AAE" w:rsidRDefault="00C93AAE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47959" w14:textId="3FAA0F19" w:rsidR="00C93AAE" w:rsidRPr="00C93AAE" w:rsidRDefault="00C93AA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01330" w14:textId="3415B413" w:rsidR="00C93AAE" w:rsidRDefault="00C93AAE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CF9B2" w14:textId="52C03DF5" w:rsidR="00C93AAE" w:rsidRPr="00CD3F31" w:rsidRDefault="00C93AAE" w:rsidP="00A05341">
            <w:pPr>
              <w:spacing w:after="0"/>
              <w:jc w:val="center"/>
            </w:pPr>
          </w:p>
        </w:tc>
      </w:tr>
      <w:tr w:rsidR="00C93AAE" w:rsidRPr="00CD3F31" w14:paraId="0699BBF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124CB" w14:textId="00E4E795" w:rsidR="00C93AAE" w:rsidRDefault="00C93AAE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D7311" w14:textId="4C7628B4" w:rsidR="00C93AAE" w:rsidRPr="00C93AAE" w:rsidRDefault="00C93AA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3F531" w14:textId="22DE7D35" w:rsidR="00C93AAE" w:rsidRDefault="00C93AAE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24478" w14:textId="7A1215E2" w:rsidR="00C93AAE" w:rsidRPr="00CD3F31" w:rsidRDefault="00C93AAE" w:rsidP="00A05341">
            <w:pPr>
              <w:spacing w:after="0"/>
              <w:jc w:val="center"/>
            </w:pPr>
          </w:p>
        </w:tc>
      </w:tr>
      <w:tr w:rsidR="00C93AAE" w:rsidRPr="00CD3F31" w14:paraId="76BCB31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BA1E8" w14:textId="6894F90C" w:rsidR="00C93AAE" w:rsidRDefault="00C93AAE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F1234" w14:textId="47A76153" w:rsidR="00C93AAE" w:rsidRPr="00C93AAE" w:rsidRDefault="00C93AA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A3554" w14:textId="7F324C55" w:rsidR="00C93AAE" w:rsidRDefault="00C93AAE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C823A" w14:textId="6C04620C" w:rsidR="00C93AAE" w:rsidRPr="00CD3F31" w:rsidRDefault="00C93AAE" w:rsidP="00A05341">
            <w:pPr>
              <w:spacing w:after="0"/>
              <w:jc w:val="center"/>
            </w:pPr>
          </w:p>
        </w:tc>
      </w:tr>
      <w:tr w:rsidR="00C93AAE" w:rsidRPr="00CD3F31" w14:paraId="1133BF7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EE619" w14:textId="36232ADC" w:rsidR="00C93AAE" w:rsidRDefault="00C93AAE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E3335" w14:textId="3B6A4135" w:rsidR="00C93AAE" w:rsidRPr="00C93AAE" w:rsidRDefault="00C93AA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F6833" w14:textId="66ED5F34" w:rsidR="00C93AAE" w:rsidRDefault="00C93AAE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D2E3E" w14:textId="7B4D7E26" w:rsidR="00C93AAE" w:rsidRPr="00CD3F31" w:rsidRDefault="00C93AAE" w:rsidP="00A05341">
            <w:pPr>
              <w:spacing w:after="0"/>
              <w:jc w:val="center"/>
            </w:pPr>
          </w:p>
        </w:tc>
      </w:tr>
      <w:tr w:rsidR="00BC0305" w:rsidRPr="00CD3F31" w14:paraId="5F8795B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501E3" w14:textId="7E3015A1" w:rsidR="00BC0305" w:rsidRDefault="00BC0305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62A25" w14:textId="52C59F44" w:rsidR="00BC0305" w:rsidRDefault="00BC0305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BAE9F" w14:textId="1C8C7087" w:rsidR="00BC0305" w:rsidRDefault="00BC0305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6FA27" w14:textId="765456A2" w:rsidR="00BC0305" w:rsidRDefault="00BC0305" w:rsidP="00A05341">
            <w:pPr>
              <w:spacing w:after="0"/>
              <w:jc w:val="center"/>
            </w:pPr>
          </w:p>
        </w:tc>
      </w:tr>
      <w:tr w:rsidR="00C93AAE" w:rsidRPr="00CD3F31" w14:paraId="2F91FC1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673F3" w14:textId="15BACE48" w:rsidR="00C93AAE" w:rsidRDefault="00C93AAE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B2A84" w14:textId="5C7B5E3A" w:rsidR="00C93AAE" w:rsidRPr="00C93AAE" w:rsidRDefault="00C93AA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AB988" w14:textId="66015734" w:rsidR="00C93AAE" w:rsidRDefault="00C93AAE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C7D5B" w14:textId="027BE4B3" w:rsidR="00C93AAE" w:rsidRPr="00CD3F31" w:rsidRDefault="00C93AAE" w:rsidP="00A05341">
            <w:pPr>
              <w:spacing w:after="0"/>
              <w:jc w:val="center"/>
            </w:pPr>
          </w:p>
        </w:tc>
      </w:tr>
      <w:tr w:rsidR="000B06AE" w:rsidRPr="00CD3F31" w14:paraId="7177C67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80540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C242BF7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B78F01" w14:textId="36451137" w:rsidR="000B06AE" w:rsidRPr="00CD3F31" w:rsidRDefault="00AD43F2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F5DEF9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1B06363A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0BB17D04" w14:textId="77777777" w:rsidR="00F830C6" w:rsidRPr="00CD3F31" w:rsidRDefault="00F830C6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889BB2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D3D71C9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9431AB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63B6B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265701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7228ECE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DCC17" w14:textId="5EF51CB9" w:rsidR="00A05341" w:rsidRPr="00CD3F31" w:rsidRDefault="00F830C6" w:rsidP="00A05341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B7130" w14:textId="1AC8A53F" w:rsidR="00A05341" w:rsidRPr="00F830C6" w:rsidRDefault="00F830C6" w:rsidP="00F830C6">
            <w:pPr>
              <w:spacing w:after="0"/>
              <w:jc w:val="center"/>
              <w:rPr>
                <w:bCs/>
              </w:rPr>
            </w:pPr>
            <w:r w:rsidRPr="00F830C6">
              <w:rPr>
                <w:bCs/>
              </w:rPr>
              <w:t>Osnovni kirurški instrumenti i materijali za zatvaranje rana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20852" w14:textId="56885074" w:rsidR="00A05341" w:rsidRPr="00CD3F31" w:rsidRDefault="00590BFB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5E903" w14:textId="32EEECE1" w:rsidR="00A05341" w:rsidRPr="00CD3F31" w:rsidRDefault="008657F6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962E7">
              <w:t xml:space="preserve">FZSRI </w:t>
            </w:r>
            <w:r>
              <w:t>kabinet</w:t>
            </w:r>
          </w:p>
        </w:tc>
      </w:tr>
      <w:tr w:rsidR="008657F6" w:rsidRPr="00CD3F31" w14:paraId="0D41438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571CD" w14:textId="150677D5" w:rsidR="008657F6" w:rsidRPr="00CD3F31" w:rsidRDefault="008657F6" w:rsidP="008657F6">
            <w:pPr>
              <w:spacing w:after="0"/>
              <w:jc w:val="center"/>
            </w:pPr>
            <w: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B8023" w14:textId="1E78325D" w:rsidR="008657F6" w:rsidRPr="00F830C6" w:rsidRDefault="008657F6" w:rsidP="008657F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G</w:t>
            </w:r>
            <w:r w:rsidRPr="00F830C6">
              <w:rPr>
                <w:bCs/>
              </w:rPr>
              <w:t>inekološki instrumenti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FC789" w14:textId="46834563" w:rsidR="008657F6" w:rsidRPr="00CD3F31" w:rsidRDefault="008657F6" w:rsidP="008657F6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6A053" w14:textId="2131EE14" w:rsidR="008657F6" w:rsidRPr="00CD3F31" w:rsidRDefault="008657F6" w:rsidP="008657F6">
            <w:pPr>
              <w:spacing w:after="0"/>
              <w:jc w:val="center"/>
              <w:rPr>
                <w:b/>
                <w:color w:val="333399"/>
              </w:rPr>
            </w:pPr>
            <w:r w:rsidRPr="008472A9">
              <w:t>FZSRI kabinet</w:t>
            </w:r>
          </w:p>
        </w:tc>
      </w:tr>
      <w:tr w:rsidR="008657F6" w:rsidRPr="00CD3F31" w14:paraId="20798A2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9694B" w14:textId="2CDC202D" w:rsidR="008657F6" w:rsidRPr="00CD3F31" w:rsidRDefault="008657F6" w:rsidP="008657F6">
            <w:pPr>
              <w:spacing w:after="0"/>
              <w:jc w:val="center"/>
            </w:pPr>
            <w: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91965" w14:textId="09D504D9" w:rsidR="008657F6" w:rsidRPr="00F830C6" w:rsidRDefault="008657F6" w:rsidP="008657F6">
            <w:pPr>
              <w:spacing w:after="0"/>
              <w:jc w:val="center"/>
              <w:rPr>
                <w:bCs/>
              </w:rPr>
            </w:pPr>
            <w:proofErr w:type="spellStart"/>
            <w:r w:rsidRPr="00F830C6">
              <w:rPr>
                <w:bCs/>
              </w:rPr>
              <w:t>Laparoskopski</w:t>
            </w:r>
            <w:proofErr w:type="spellEnd"/>
            <w:r w:rsidRPr="00F830C6">
              <w:rPr>
                <w:bCs/>
              </w:rPr>
              <w:t xml:space="preserve"> instrumenti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0058A" w14:textId="3509B93D" w:rsidR="008657F6" w:rsidRPr="00CD3F31" w:rsidRDefault="008657F6" w:rsidP="008657F6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174C6" w14:textId="13874046" w:rsidR="008657F6" w:rsidRPr="00CD3F31" w:rsidRDefault="008657F6" w:rsidP="008657F6">
            <w:pPr>
              <w:spacing w:after="0"/>
              <w:jc w:val="center"/>
              <w:rPr>
                <w:b/>
                <w:color w:val="333399"/>
              </w:rPr>
            </w:pPr>
            <w:r w:rsidRPr="008472A9">
              <w:t>FZSRI kabinet</w:t>
            </w:r>
          </w:p>
        </w:tc>
      </w:tr>
      <w:tr w:rsidR="00A05341" w:rsidRPr="00CD3F31" w14:paraId="4544EBC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5B2D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9BBB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23E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605A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791E086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53B8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8AF6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D358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BEF0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5071E27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36595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00E13B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17BE76" w14:textId="3F9E1846" w:rsidR="000B06AE" w:rsidRPr="00CD3F31" w:rsidRDefault="00AD43F2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F259F5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C0A06F6" w14:textId="77777777" w:rsidR="005C2F41" w:rsidRPr="00CD3F31" w:rsidRDefault="005C2F41" w:rsidP="005C2F41">
      <w:pPr>
        <w:jc w:val="center"/>
        <w:rPr>
          <w:lang w:eastAsia="hr-HR"/>
        </w:rPr>
      </w:pPr>
    </w:p>
    <w:tbl>
      <w:tblPr>
        <w:tblpPr w:leftFromText="180" w:rightFromText="180" w:vertAnchor="text" w:horzAnchor="margin" w:tblpY="171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F830C6" w:rsidRPr="00CD3F31" w14:paraId="460040B5" w14:textId="77777777" w:rsidTr="00F830C6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CAD1F1" w14:textId="77777777" w:rsidR="00F830C6" w:rsidRPr="00CD3F31" w:rsidRDefault="00F830C6" w:rsidP="00F830C6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7E4F7B9" w14:textId="77777777" w:rsidR="00F830C6" w:rsidRPr="00CD3F31" w:rsidRDefault="00F830C6" w:rsidP="00F830C6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F830C6" w:rsidRPr="00CD3F31" w14:paraId="09FC5DBF" w14:textId="77777777" w:rsidTr="00F830C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BF4B0E" w14:textId="77777777" w:rsidR="00F830C6" w:rsidRPr="00CD3F31" w:rsidRDefault="00F830C6" w:rsidP="00F830C6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F0FC2" w14:textId="554A0254" w:rsidR="00F830C6" w:rsidRPr="00CD3F31" w:rsidRDefault="00C13926" w:rsidP="00F830C6">
            <w:pPr>
              <w:spacing w:after="0"/>
            </w:pPr>
            <w:r w:rsidRPr="00C13926">
              <w:t>1</w:t>
            </w:r>
            <w:r w:rsidR="00756F14">
              <w:t>2</w:t>
            </w:r>
            <w:r w:rsidRPr="00C13926">
              <w:t>.04.202</w:t>
            </w:r>
            <w:r w:rsidR="00756F14">
              <w:t>4</w:t>
            </w:r>
            <w:r w:rsidRPr="00C13926">
              <w:t>.</w:t>
            </w:r>
          </w:p>
        </w:tc>
      </w:tr>
      <w:tr w:rsidR="00F830C6" w:rsidRPr="00CD3F31" w14:paraId="4912CBED" w14:textId="77777777" w:rsidTr="00F830C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A51AD1" w14:textId="77777777" w:rsidR="00F830C6" w:rsidRPr="00CD3F31" w:rsidRDefault="00F830C6" w:rsidP="00F830C6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280C5" w14:textId="53488E53" w:rsidR="00F830C6" w:rsidRPr="00CD3F31" w:rsidRDefault="00C13926" w:rsidP="00F830C6">
            <w:pPr>
              <w:spacing w:after="0"/>
            </w:pPr>
            <w:r w:rsidRPr="00C13926">
              <w:t>03.05.202</w:t>
            </w:r>
            <w:r w:rsidR="00756F14">
              <w:t>4</w:t>
            </w:r>
          </w:p>
        </w:tc>
      </w:tr>
      <w:tr w:rsidR="00F830C6" w:rsidRPr="00CD3F31" w14:paraId="2B4B63FD" w14:textId="77777777" w:rsidTr="00F830C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260C13" w14:textId="77777777" w:rsidR="00F830C6" w:rsidRPr="00CD3F31" w:rsidRDefault="00F830C6" w:rsidP="00F830C6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A31F5" w14:textId="1B0E848F" w:rsidR="00F830C6" w:rsidRPr="00CD3F31" w:rsidRDefault="00910442" w:rsidP="00F830C6">
            <w:pPr>
              <w:spacing w:after="0"/>
            </w:pPr>
            <w:r>
              <w:t>07.06.202</w:t>
            </w:r>
            <w:r w:rsidR="00756F14">
              <w:t>4</w:t>
            </w:r>
            <w:r>
              <w:t>.</w:t>
            </w:r>
          </w:p>
        </w:tc>
      </w:tr>
      <w:tr w:rsidR="00F830C6" w:rsidRPr="00CD3F31" w14:paraId="17708173" w14:textId="77777777" w:rsidTr="00F830C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47AE8A" w14:textId="77777777" w:rsidR="00F830C6" w:rsidRPr="00CD3F31" w:rsidRDefault="00F830C6" w:rsidP="00F830C6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F9E81" w14:textId="60694854" w:rsidR="00F830C6" w:rsidRPr="00CD3F31" w:rsidRDefault="00756F14" w:rsidP="00F830C6">
            <w:pPr>
              <w:spacing w:after="0"/>
            </w:pPr>
            <w:r>
              <w:t>10</w:t>
            </w:r>
            <w:r w:rsidR="00910442">
              <w:t>.0</w:t>
            </w:r>
            <w:r w:rsidR="00D419AB">
              <w:t>9</w:t>
            </w:r>
            <w:r w:rsidR="00910442">
              <w:t>.202</w:t>
            </w:r>
            <w:r>
              <w:t>4</w:t>
            </w:r>
            <w:r w:rsidR="00910442">
              <w:t>.</w:t>
            </w:r>
          </w:p>
        </w:tc>
      </w:tr>
    </w:tbl>
    <w:p w14:paraId="67B9DE63" w14:textId="77777777" w:rsidR="005C2F41" w:rsidRPr="00CD3F31" w:rsidRDefault="005C2F41" w:rsidP="005C2F41"/>
    <w:p w14:paraId="52121950" w14:textId="1C9DE44E" w:rsidR="00C24941" w:rsidRPr="00CD3F31" w:rsidRDefault="00C24941" w:rsidP="00F830C6">
      <w:pPr>
        <w:spacing w:after="200" w:line="276" w:lineRule="auto"/>
      </w:pPr>
    </w:p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30E2" w14:textId="77777777" w:rsidR="00FF0D79" w:rsidRDefault="00FF0D79">
      <w:pPr>
        <w:spacing w:after="0" w:line="240" w:lineRule="auto"/>
      </w:pPr>
      <w:r>
        <w:separator/>
      </w:r>
    </w:p>
  </w:endnote>
  <w:endnote w:type="continuationSeparator" w:id="0">
    <w:p w14:paraId="5C7C8935" w14:textId="77777777" w:rsidR="00FF0D79" w:rsidRDefault="00FF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Italic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2635" w14:textId="77777777" w:rsidR="00F84B04" w:rsidRDefault="00F84B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CAC89E2" w14:textId="77777777" w:rsidR="00F84B04" w:rsidRPr="00AE1B0C" w:rsidRDefault="00F84B04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B08D" w14:textId="77777777" w:rsidR="00FF0D79" w:rsidRDefault="00FF0D79">
      <w:pPr>
        <w:spacing w:after="0" w:line="240" w:lineRule="auto"/>
      </w:pPr>
      <w:r>
        <w:separator/>
      </w:r>
    </w:p>
  </w:footnote>
  <w:footnote w:type="continuationSeparator" w:id="0">
    <w:p w14:paraId="783780A4" w14:textId="77777777" w:rsidR="00FF0D79" w:rsidRDefault="00FF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5161" w14:textId="77777777" w:rsidR="00F84B04" w:rsidRPr="00AE1B0C" w:rsidRDefault="00F84B04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E6B5FE9" wp14:editId="484B2B6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F03E476" w14:textId="77777777" w:rsidR="00F84B04" w:rsidRPr="00AE1B0C" w:rsidRDefault="00F84B04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23603DC3" w14:textId="77777777" w:rsidR="00F84B04" w:rsidRPr="004F4BF4" w:rsidRDefault="00F84B04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E2E32D6" w14:textId="77777777" w:rsidR="00F84B04" w:rsidRPr="004F4BF4" w:rsidRDefault="00F84B04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D612326" w14:textId="77777777" w:rsidR="00F84B04" w:rsidRPr="004F4BF4" w:rsidRDefault="00F84B04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28E0F64" w14:textId="77777777" w:rsidR="00F84B04" w:rsidRDefault="00F84B04">
    <w:pPr>
      <w:pStyle w:val="Header"/>
    </w:pPr>
  </w:p>
  <w:p w14:paraId="7EF15E12" w14:textId="77777777" w:rsidR="00F84B04" w:rsidRDefault="00F84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F87"/>
    <w:multiLevelType w:val="hybridMultilevel"/>
    <w:tmpl w:val="08587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720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DA22335"/>
    <w:multiLevelType w:val="hybridMultilevel"/>
    <w:tmpl w:val="8982B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1339">
    <w:abstractNumId w:val="2"/>
  </w:num>
  <w:num w:numId="2" w16cid:durableId="1285499452">
    <w:abstractNumId w:val="0"/>
  </w:num>
  <w:num w:numId="3" w16cid:durableId="326515352">
    <w:abstractNumId w:val="4"/>
  </w:num>
  <w:num w:numId="4" w16cid:durableId="686491494">
    <w:abstractNumId w:val="3"/>
  </w:num>
  <w:num w:numId="5" w16cid:durableId="56028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078F5"/>
    <w:rsid w:val="0001711D"/>
    <w:rsid w:val="00032FCB"/>
    <w:rsid w:val="00062725"/>
    <w:rsid w:val="0006705E"/>
    <w:rsid w:val="00080AD4"/>
    <w:rsid w:val="00092AA7"/>
    <w:rsid w:val="0009494E"/>
    <w:rsid w:val="000B06AE"/>
    <w:rsid w:val="000D35C1"/>
    <w:rsid w:val="000F01B5"/>
    <w:rsid w:val="000F1A10"/>
    <w:rsid w:val="000F3023"/>
    <w:rsid w:val="00102E49"/>
    <w:rsid w:val="00144761"/>
    <w:rsid w:val="00184FD3"/>
    <w:rsid w:val="00196FF0"/>
    <w:rsid w:val="001A3CD4"/>
    <w:rsid w:val="00230D7A"/>
    <w:rsid w:val="002B41D6"/>
    <w:rsid w:val="002E1B8A"/>
    <w:rsid w:val="002F30E3"/>
    <w:rsid w:val="00313E94"/>
    <w:rsid w:val="003314C1"/>
    <w:rsid w:val="003438A9"/>
    <w:rsid w:val="00384F6E"/>
    <w:rsid w:val="0039207A"/>
    <w:rsid w:val="003B7FB0"/>
    <w:rsid w:val="003C0F36"/>
    <w:rsid w:val="00402048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90BFB"/>
    <w:rsid w:val="005970E0"/>
    <w:rsid w:val="005A06E1"/>
    <w:rsid w:val="005A4191"/>
    <w:rsid w:val="005A6EDD"/>
    <w:rsid w:val="005C2F41"/>
    <w:rsid w:val="005F7371"/>
    <w:rsid w:val="00634C4B"/>
    <w:rsid w:val="0064575B"/>
    <w:rsid w:val="00690F74"/>
    <w:rsid w:val="006B5623"/>
    <w:rsid w:val="006D04C9"/>
    <w:rsid w:val="006F39EE"/>
    <w:rsid w:val="00755BB8"/>
    <w:rsid w:val="00756F14"/>
    <w:rsid w:val="00772CB4"/>
    <w:rsid w:val="00773AA1"/>
    <w:rsid w:val="00782EA4"/>
    <w:rsid w:val="00792B8F"/>
    <w:rsid w:val="00794A02"/>
    <w:rsid w:val="007D1510"/>
    <w:rsid w:val="007F4483"/>
    <w:rsid w:val="00805B45"/>
    <w:rsid w:val="00806E45"/>
    <w:rsid w:val="00812807"/>
    <w:rsid w:val="0081729C"/>
    <w:rsid w:val="00821C7D"/>
    <w:rsid w:val="00822124"/>
    <w:rsid w:val="00846C2B"/>
    <w:rsid w:val="00850129"/>
    <w:rsid w:val="008509DC"/>
    <w:rsid w:val="00851566"/>
    <w:rsid w:val="008657F6"/>
    <w:rsid w:val="00876EDA"/>
    <w:rsid w:val="008A3B06"/>
    <w:rsid w:val="008B7B48"/>
    <w:rsid w:val="008D4528"/>
    <w:rsid w:val="008E7846"/>
    <w:rsid w:val="008F76DD"/>
    <w:rsid w:val="00910442"/>
    <w:rsid w:val="0091264E"/>
    <w:rsid w:val="0091431F"/>
    <w:rsid w:val="009243E9"/>
    <w:rsid w:val="00965280"/>
    <w:rsid w:val="00983892"/>
    <w:rsid w:val="00984697"/>
    <w:rsid w:val="00A01624"/>
    <w:rsid w:val="00A05341"/>
    <w:rsid w:val="00A12305"/>
    <w:rsid w:val="00A27C68"/>
    <w:rsid w:val="00A46299"/>
    <w:rsid w:val="00A50A44"/>
    <w:rsid w:val="00A51331"/>
    <w:rsid w:val="00AA6176"/>
    <w:rsid w:val="00AB551E"/>
    <w:rsid w:val="00AC7D5C"/>
    <w:rsid w:val="00AD43F2"/>
    <w:rsid w:val="00AF6D45"/>
    <w:rsid w:val="00AF78AA"/>
    <w:rsid w:val="00B12C1C"/>
    <w:rsid w:val="00B569BF"/>
    <w:rsid w:val="00B90482"/>
    <w:rsid w:val="00BA32E9"/>
    <w:rsid w:val="00BB738C"/>
    <w:rsid w:val="00BB7BAC"/>
    <w:rsid w:val="00BC0305"/>
    <w:rsid w:val="00BD6B4F"/>
    <w:rsid w:val="00BF53C9"/>
    <w:rsid w:val="00C13926"/>
    <w:rsid w:val="00C24941"/>
    <w:rsid w:val="00C30FA3"/>
    <w:rsid w:val="00C446B5"/>
    <w:rsid w:val="00C61DB9"/>
    <w:rsid w:val="00C6444B"/>
    <w:rsid w:val="00C753E6"/>
    <w:rsid w:val="00C92590"/>
    <w:rsid w:val="00C93AAE"/>
    <w:rsid w:val="00CB5D62"/>
    <w:rsid w:val="00CD0A91"/>
    <w:rsid w:val="00CD3F31"/>
    <w:rsid w:val="00CE3356"/>
    <w:rsid w:val="00CE4565"/>
    <w:rsid w:val="00D01661"/>
    <w:rsid w:val="00D12A2A"/>
    <w:rsid w:val="00D16BF8"/>
    <w:rsid w:val="00D16CF8"/>
    <w:rsid w:val="00D419AB"/>
    <w:rsid w:val="00D451F5"/>
    <w:rsid w:val="00D57D64"/>
    <w:rsid w:val="00D70B0A"/>
    <w:rsid w:val="00D7612B"/>
    <w:rsid w:val="00D86165"/>
    <w:rsid w:val="00DA440F"/>
    <w:rsid w:val="00E2196F"/>
    <w:rsid w:val="00E221EC"/>
    <w:rsid w:val="00E40068"/>
    <w:rsid w:val="00E92F6C"/>
    <w:rsid w:val="00EA2FC4"/>
    <w:rsid w:val="00EB0DB0"/>
    <w:rsid w:val="00EB4DD5"/>
    <w:rsid w:val="00EC2D37"/>
    <w:rsid w:val="00F112D5"/>
    <w:rsid w:val="00F47429"/>
    <w:rsid w:val="00F830C6"/>
    <w:rsid w:val="00F84B04"/>
    <w:rsid w:val="00FA2B1D"/>
    <w:rsid w:val="00FD5AA8"/>
    <w:rsid w:val="00FE56D6"/>
    <w:rsid w:val="00FF0D79"/>
    <w:rsid w:val="00FF0E28"/>
    <w:rsid w:val="00FF1609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151C3C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C6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1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PlaceholderText"/>
            </w:rPr>
            <w:t>Izaberite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Italic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F78A7"/>
    <w:rsid w:val="00145628"/>
    <w:rsid w:val="001B1A93"/>
    <w:rsid w:val="001C579C"/>
    <w:rsid w:val="001F6E5B"/>
    <w:rsid w:val="00243FD9"/>
    <w:rsid w:val="00311D82"/>
    <w:rsid w:val="003C5472"/>
    <w:rsid w:val="00551851"/>
    <w:rsid w:val="005B02F3"/>
    <w:rsid w:val="005B55E5"/>
    <w:rsid w:val="005F5698"/>
    <w:rsid w:val="00631081"/>
    <w:rsid w:val="006507B3"/>
    <w:rsid w:val="006812C8"/>
    <w:rsid w:val="006C727D"/>
    <w:rsid w:val="006E7B85"/>
    <w:rsid w:val="00731BD7"/>
    <w:rsid w:val="00807016"/>
    <w:rsid w:val="00820630"/>
    <w:rsid w:val="00821EB9"/>
    <w:rsid w:val="008271D5"/>
    <w:rsid w:val="00842297"/>
    <w:rsid w:val="00881946"/>
    <w:rsid w:val="008B3B87"/>
    <w:rsid w:val="008C44BE"/>
    <w:rsid w:val="008E4F30"/>
    <w:rsid w:val="008F0759"/>
    <w:rsid w:val="009004FD"/>
    <w:rsid w:val="00903BA7"/>
    <w:rsid w:val="00991E65"/>
    <w:rsid w:val="009B3544"/>
    <w:rsid w:val="00A53BC3"/>
    <w:rsid w:val="00A737D0"/>
    <w:rsid w:val="00A84F44"/>
    <w:rsid w:val="00B04E26"/>
    <w:rsid w:val="00B13965"/>
    <w:rsid w:val="00B377AA"/>
    <w:rsid w:val="00C6712D"/>
    <w:rsid w:val="00C832B9"/>
    <w:rsid w:val="00C95CBD"/>
    <w:rsid w:val="00DE3C16"/>
    <w:rsid w:val="00E40892"/>
    <w:rsid w:val="00E55FA5"/>
    <w:rsid w:val="00EA2C9C"/>
    <w:rsid w:val="00EE3ED6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FD9"/>
    <w:rPr>
      <w:color w:val="808080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Damir Ćerimagić</cp:lastModifiedBy>
  <cp:revision>4</cp:revision>
  <dcterms:created xsi:type="dcterms:W3CDTF">2023-10-01T18:02:00Z</dcterms:created>
  <dcterms:modified xsi:type="dcterms:W3CDTF">2023-10-01T18:09:00Z</dcterms:modified>
</cp:coreProperties>
</file>